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420" w:hanging="412"/>
        <w:spacing w:after="0"/>
        <w:tabs>
          <w:tab w:leader="none" w:pos="42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3300" w:right="1680" w:hanging="3292"/>
        <w:spacing w:after="0" w:line="336" w:lineRule="auto"/>
        <w:tabs>
          <w:tab w:leader="none" w:pos="387"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12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78"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6280" w:type="dxa"/>
            <w:vAlign w:val="bottom"/>
          </w:tcPr>
          <w:p>
            <w:pPr>
              <w:jc w:val="center"/>
              <w:ind w:right="331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81-3563824</w:t>
            </w:r>
          </w:p>
        </w:tc>
      </w:tr>
      <w:tr>
        <w:trPr>
          <w:trHeight w:val="231"/>
        </w:trPr>
        <w:tc>
          <w:tcPr>
            <w:tcW w:w="6280" w:type="dxa"/>
            <w:vAlign w:val="bottom"/>
          </w:tcPr>
          <w:p>
            <w:pPr>
              <w:jc w:val="center"/>
              <w:ind w:right="331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or other jurisdiction of</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6"/>
        </w:trPr>
        <w:tc>
          <w:tcPr>
            <w:tcW w:w="6280" w:type="dxa"/>
            <w:vAlign w:val="bottom"/>
          </w:tcPr>
          <w:p>
            <w:pPr>
              <w:jc w:val="center"/>
              <w:ind w:right="3313"/>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r>
              <w:rPr>
                <w:rFonts w:ascii="Times New Roman" w:cs="Times New Roman" w:eastAsia="Times New Roman" w:hAnsi="Times New Roman"/>
                <w:sz w:val="17"/>
                <w:szCs w:val="17"/>
                <w:color w:val="auto"/>
              </w:rPr>
              <w:t>)</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542"/>
        </w:trPr>
        <w:tc>
          <w:tcPr>
            <w:tcW w:w="6280" w:type="dxa"/>
            <w:vAlign w:val="bottom"/>
          </w:tcPr>
          <w:p>
            <w:pPr>
              <w:jc w:val="center"/>
              <w:ind w:right="3313"/>
              <w:spacing w:after="0"/>
              <w:rPr>
                <w:sz w:val="20"/>
                <w:szCs w:val="20"/>
                <w:color w:val="auto"/>
              </w:rPr>
            </w:pPr>
            <w:r>
              <w:rPr>
                <w:rFonts w:ascii="Times New Roman" w:cs="Times New Roman" w:eastAsia="Times New Roman" w:hAnsi="Times New Roman"/>
                <w:sz w:val="18"/>
                <w:szCs w:val="18"/>
                <w:b w:val="1"/>
                <w:bCs w:val="1"/>
                <w:color w:val="auto"/>
                <w:w w:val="99"/>
              </w:rPr>
              <w:t>2046 Riverview Auto Drive, Suite 300</w:t>
            </w:r>
          </w:p>
        </w:tc>
        <w:tc>
          <w:tcPr>
            <w:tcW w:w="14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270"/>
        </w:trPr>
        <w:tc>
          <w:tcPr>
            <w:tcW w:w="6280" w:type="dxa"/>
            <w:vAlign w:val="bottom"/>
          </w:tcPr>
          <w:p>
            <w:pPr>
              <w:jc w:val="center"/>
              <w:ind w:right="3313"/>
              <w:spacing w:after="0"/>
              <w:rPr>
                <w:sz w:val="20"/>
                <w:szCs w:val="20"/>
                <w:color w:val="auto"/>
              </w:rPr>
            </w:pPr>
            <w:r>
              <w:rPr>
                <w:rFonts w:ascii="Times New Roman" w:cs="Times New Roman" w:eastAsia="Times New Roman" w:hAnsi="Times New Roman"/>
                <w:sz w:val="18"/>
                <w:szCs w:val="18"/>
                <w:b w:val="1"/>
                <w:bCs w:val="1"/>
                <w:color w:val="auto"/>
                <w:w w:val="99"/>
              </w:rPr>
              <w:t>Mesa, Arizona</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41"/>
        </w:trPr>
        <w:tc>
          <w:tcPr>
            <w:tcW w:w="6280" w:type="dxa"/>
            <w:vAlign w:val="bottom"/>
          </w:tcPr>
          <w:p>
            <w:pPr>
              <w:jc w:val="center"/>
              <w:ind w:right="331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of Principal Executive Offices</w:t>
            </w:r>
            <w:r>
              <w:rPr>
                <w:rFonts w:ascii="Times New Roman" w:cs="Times New Roman" w:eastAsia="Times New Roman" w:hAnsi="Times New Roman"/>
                <w:sz w:val="17"/>
                <w:szCs w:val="17"/>
                <w:color w:val="auto"/>
              </w:rPr>
              <w:t>)</w:t>
            </w:r>
          </w:p>
        </w:tc>
        <w:tc>
          <w:tcPr>
            <w:tcW w:w="1400" w:type="dxa"/>
            <w:vAlign w:val="bottom"/>
          </w:tcPr>
          <w:p>
            <w:pPr>
              <w:spacing w:after="0"/>
              <w:rPr>
                <w:sz w:val="20"/>
                <w:szCs w:val="20"/>
                <w:color w:val="auto"/>
              </w:rPr>
            </w:pPr>
          </w:p>
        </w:tc>
      </w:tr>
      <w:tr>
        <w:trPr>
          <w:trHeight w:val="354"/>
        </w:trPr>
        <w:tc>
          <w:tcPr>
            <w:tcW w:w="6280" w:type="dxa"/>
            <w:vAlign w:val="bottom"/>
          </w:tcPr>
          <w:p>
            <w:pPr>
              <w:jc w:val="right"/>
              <w:ind w:right="1413"/>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1400" w:type="dxa"/>
            <w:vAlign w:val="bottom"/>
          </w:tcPr>
          <w:p>
            <w:pPr>
              <w:spacing w:after="0"/>
              <w:rPr>
                <w:sz w:val="24"/>
                <w:szCs w:val="24"/>
                <w:color w:val="auto"/>
              </w:rPr>
            </w:pPr>
          </w:p>
        </w:tc>
      </w:tr>
      <w:tr>
        <w:trPr>
          <w:trHeight w:val="226"/>
        </w:trPr>
        <w:tc>
          <w:tcPr>
            <w:tcW w:w="6280" w:type="dxa"/>
            <w:vAlign w:val="bottom"/>
          </w:tcPr>
          <w:p>
            <w:pPr>
              <w:jc w:val="center"/>
              <w:ind w:left="2113"/>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Registrant’s Telephone Number, Including Area Code</w:t>
            </w:r>
            <w:r>
              <w:rPr>
                <w:rFonts w:ascii="Times New Roman" w:cs="Times New Roman" w:eastAsia="Times New Roman" w:hAnsi="Times New Roman"/>
                <w:sz w:val="17"/>
                <w:szCs w:val="17"/>
                <w:color w:val="auto"/>
                <w:w w:val="99"/>
              </w:rPr>
              <w:t>)</w:t>
            </w:r>
          </w:p>
        </w:tc>
        <w:tc>
          <w:tcPr>
            <w:tcW w:w="1400" w:type="dxa"/>
            <w:vAlign w:val="bottom"/>
          </w:tcPr>
          <w:p>
            <w:pPr>
              <w:spacing w:after="0"/>
              <w:rPr>
                <w:sz w:val="19"/>
                <w:szCs w:val="19"/>
                <w:color w:val="auto"/>
              </w:rPr>
            </w:pPr>
          </w:p>
        </w:tc>
      </w:tr>
    </w:tbl>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Former name, former address and former fiscal year, if changed since last report</w:t>
      </w:r>
      <w:r>
        <w:rPr>
          <w:rFonts w:ascii="Times New Roman" w:cs="Times New Roman" w:eastAsia="Times New Roman" w:hAnsi="Times New Roman"/>
          <w:sz w:val="17"/>
          <w:szCs w:val="17"/>
          <w:color w:val="auto"/>
        </w:rPr>
        <w:t>)</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13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6"/>
          <w:szCs w:val="16"/>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(Trading Symbol)</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p>
      <w:pPr>
        <w:spacing w:after="0" w:line="73" w:lineRule="exact"/>
        <w:rPr>
          <w:sz w:val="24"/>
          <w:szCs w:val="24"/>
          <w:color w:val="auto"/>
        </w:rPr>
      </w:pPr>
    </w:p>
    <w:p>
      <w:pPr>
        <w:sectPr>
          <w:pgSz w:w="11900" w:h="16838" w:orient="portrait"/>
          <w:cols w:equalWidth="0" w:num="3">
            <w:col w:w="4340" w:space="720"/>
            <w:col w:w="1540" w:space="720"/>
            <w:col w:w="3920"/>
          </w:cols>
          <w:pgMar w:left="320" w:top="229"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VRRM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Nasdaq Capital Market</w:t>
      </w:r>
    </w:p>
    <w:p>
      <w:pPr>
        <w:spacing w:after="0" w:line="200" w:lineRule="exact"/>
        <w:rPr>
          <w:sz w:val="24"/>
          <w:szCs w:val="24"/>
          <w:color w:val="auto"/>
        </w:rPr>
      </w:pPr>
    </w:p>
    <w:p>
      <w:pPr>
        <w:sectPr>
          <w:pgSz w:w="11900" w:h="16838" w:orient="portrait"/>
          <w:cols w:equalWidth="0" w:num="3">
            <w:col w:w="4660" w:space="720"/>
            <w:col w:w="1940" w:space="720"/>
            <w:col w:w="3200"/>
          </w:cols>
          <w:pgMar w:left="320" w:top="229" w:right="339" w:bottom="1440" w:gutter="0" w:footer="0" w:header="0"/>
          <w:type w:val="continuous"/>
        </w:sectPr>
      </w:pPr>
    </w:p>
    <w:p>
      <w:pPr>
        <w:spacing w:after="0" w:line="2"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00" w:type="dxa"/>
            <w:vAlign w:val="bottom"/>
          </w:tcPr>
          <w:p>
            <w:pPr>
              <w:ind w:left="480"/>
              <w:spacing w:after="0"/>
              <w:rPr>
                <w:sz w:val="20"/>
                <w:szCs w:val="20"/>
                <w:color w:val="auto"/>
              </w:rPr>
            </w:pPr>
            <w:r>
              <w:rPr>
                <w:rFonts w:ascii="Wingdings" w:cs="Wingdings" w:eastAsia="Wingdings" w:hAnsi="Wingdings"/>
                <w:sz w:val="17"/>
                <w:szCs w:val="17"/>
                <w:b w:val="1"/>
                <w:bCs w:val="1"/>
                <w:color w:val="auto"/>
              </w:rPr>
              <w:t>x</w:t>
            </w:r>
          </w:p>
        </w:tc>
        <w:tc>
          <w:tcPr>
            <w:tcW w:w="504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00" w:type="dxa"/>
            <w:vAlign w:val="bottom"/>
          </w:tcPr>
          <w:p>
            <w:pPr>
              <w:ind w:left="480"/>
              <w:spacing w:after="0"/>
              <w:rPr>
                <w:sz w:val="20"/>
                <w:szCs w:val="20"/>
                <w:color w:val="auto"/>
              </w:rPr>
            </w:pPr>
            <w:r>
              <w:rPr>
                <w:rFonts w:ascii="Wingdings" w:cs="Wingdings" w:eastAsia="Wingdings" w:hAnsi="Wingdings"/>
                <w:sz w:val="17"/>
                <w:szCs w:val="17"/>
                <w:b w:val="1"/>
                <w:bCs w:val="1"/>
                <w:color w:val="auto"/>
              </w:rPr>
              <w:t>o</w:t>
            </w:r>
          </w:p>
        </w:tc>
        <w:tc>
          <w:tcPr>
            <w:tcW w:w="504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20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4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69"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October 27, 2026, there were 152,009,343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888365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40" w:type="dxa"/>
            <w:vAlign w:val="bottom"/>
            <w:gridSpan w:val="6"/>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2026</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4"/>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6000" w:type="dxa"/>
            <w:vAlign w:val="bottom"/>
            <w:gridSpan w:val="7"/>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320" w:type="dxa"/>
            <w:vAlign w:val="bottom"/>
            <w:gridSpan w:val="5"/>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520" w:type="dxa"/>
            <w:vAlign w:val="bottom"/>
            <w:gridSpan w:val="4"/>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4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And Comprehensive Income</w:t>
            </w:r>
          </w:p>
        </w:tc>
        <w:tc>
          <w:tcPr>
            <w:tcW w:w="4520" w:type="dxa"/>
            <w:vAlign w:val="bottom"/>
            <w:gridSpan w:val="4"/>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7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600" w:type="dxa"/>
            <w:vAlign w:val="bottom"/>
          </w:tcPr>
          <w:p>
            <w:pPr>
              <w:spacing w:after="0"/>
              <w:rPr>
                <w:sz w:val="22"/>
                <w:szCs w:val="22"/>
                <w:color w:val="auto"/>
              </w:rPr>
            </w:pPr>
          </w:p>
        </w:tc>
        <w:tc>
          <w:tcPr>
            <w:tcW w:w="3900" w:type="dxa"/>
            <w:vAlign w:val="bottom"/>
            <w:gridSpan w:val="2"/>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40" w:type="dxa"/>
            <w:vAlign w:val="bottom"/>
            <w:tcBorders>
              <w:right w:val="single" w:sz="8" w:color="0000FF"/>
            </w:tcBorders>
            <w:gridSpan w:val="4"/>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3900" w:type="dxa"/>
            <w:vAlign w:val="bottom"/>
            <w:gridSpan w:val="2"/>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64"/>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40</w:t>
            </w:r>
          </w:p>
        </w:tc>
      </w:tr>
      <w:tr>
        <w:trPr>
          <w:trHeight w:val="263"/>
        </w:trPr>
        <w:tc>
          <w:tcPr>
            <w:tcW w:w="2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20" w:type="dxa"/>
            <w:vAlign w:val="bottom"/>
            <w:tcBorders>
              <w:top w:val="single" w:sz="8" w:color="0000FF"/>
            </w:tcBorders>
            <w:gridSpan w:val="3"/>
          </w:tcPr>
          <w:p>
            <w:pPr>
              <w:spacing w:after="0"/>
              <w:rPr>
                <w:sz w:val="22"/>
                <w:szCs w:val="22"/>
                <w:color w:val="auto"/>
              </w:rPr>
            </w:pPr>
          </w:p>
        </w:tc>
        <w:tc>
          <w:tcPr>
            <w:tcW w:w="6300" w:type="dxa"/>
            <w:vAlign w:val="bottom"/>
            <w:gridSpan w:val="9"/>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220" w:type="dxa"/>
            <w:vAlign w:val="bottom"/>
            <w:gridSpan w:val="14"/>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64"/>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9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900" w:type="dxa"/>
            <w:vAlign w:val="bottom"/>
            <w:gridSpan w:val="2"/>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940" w:type="dxa"/>
            <w:vAlign w:val="bottom"/>
            <w:gridSpan w:val="6"/>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4"/>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3"/>
          </w:tcPr>
          <w:p>
            <w:pPr>
              <w:spacing w:after="0"/>
              <w:rPr>
                <w:sz w:val="22"/>
                <w:szCs w:val="22"/>
                <w:color w:val="auto"/>
              </w:rPr>
            </w:pPr>
          </w:p>
        </w:tc>
        <w:tc>
          <w:tcPr>
            <w:tcW w:w="6500" w:type="dxa"/>
            <w:vAlign w:val="bottom"/>
            <w:gridSpan w:val="10"/>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44</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 w:right="7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contains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All statements contained in this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p>
    <w:p>
      <w:pPr>
        <w:spacing w:after="0" w:line="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2025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Part II, Item 1A. “Risk Factors” of this Report, and in other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which highlight, among other risks:</w:t>
      </w:r>
    </w:p>
    <w:p>
      <w:pPr>
        <w:spacing w:after="0" w:line="112" w:lineRule="exact"/>
        <w:rPr>
          <w:sz w:val="20"/>
          <w:szCs w:val="20"/>
          <w:color w:val="auto"/>
        </w:rPr>
      </w:pPr>
    </w:p>
    <w:p>
      <w:pPr>
        <w:jc w:val="both"/>
        <w:ind w:left="740" w:hanging="327"/>
        <w:spacing w:after="0" w:line="239" w:lineRule="auto"/>
        <w:tabs>
          <w:tab w:leader="none" w:pos="7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impact of negative industry and macroeconomic conditions, including inflation and higher interest rates, the impact of government actions and regulations, such as tariffs and trade protection measures, and military conflicts, which may materially and adversely affect our business, financial condition, and results of operations;</w:t>
      </w:r>
    </w:p>
    <w:p>
      <w:pPr>
        <w:spacing w:after="0" w:line="132" w:lineRule="exact"/>
        <w:rPr>
          <w:rFonts w:ascii="Times New Roman" w:cs="Times New Roman" w:eastAsia="Times New Roman" w:hAnsi="Times New Roman"/>
          <w:sz w:val="22"/>
          <w:szCs w:val="22"/>
          <w:color w:val="auto"/>
        </w:rPr>
      </w:pPr>
    </w:p>
    <w:p>
      <w:pPr>
        <w:ind w:left="740" w:hanging="327"/>
        <w:spacing w:after="0" w:line="248" w:lineRule="auto"/>
        <w:tabs>
          <w:tab w:leader="none" w:pos="7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 concentration in our Commercial Services and Government Solutions segments, including risks impacting these segments such as travel demand and legislation, risks relating to our contracts with our significant Commercial Services customers and the New York City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which comprises a material portion of our revenue, and the timing of payments. In May 2026, one of our three significant Commercial Services customers issued a termination notice with respect to its contract with us. The customer subsequently withdrew its termination notice in July 2026 and entered into a seven-year contract extension on terms that were materially less favorable to us as compared to the prior agreement, including an option for the customer to modulate its fleet volume. During the third quarter of 2026, the customer significantly reduced its fleet volume under the contract and on October 2, 2026, we exercised our option to terminate the contract, effective January 30, 2027. We may be unable to replace the revenue that was expected under this contract on a timely basis or at all. A second significant Commercial Services customer entered into a five-year contract extension, also on terms materially less favorable to us than those of the prior agreement and with fleet volume modulation rights that are subject to terms and conditions set forth in the agreement. In addition, the contract with the third significant Commercial Services customer is approaching renewal, and we are following the customer's procurement process. We may not be successful in retaining the contract or may retain it only on terms less favorable to us than the current agreement. If we are not successful in retaining the third customer contract or if any renewal is on less favorable terms than the current agreement and/or if either of the remaining contracts is terminated, this would have a material adverse effect on our business, financial condition, and results of operations;</w:t>
      </w:r>
    </w:p>
    <w:p>
      <w:pPr>
        <w:spacing w:after="0" w:line="132" w:lineRule="exact"/>
        <w:rPr>
          <w:rFonts w:ascii="Times New Roman" w:cs="Times New Roman" w:eastAsia="Times New Roman" w:hAnsi="Times New Roman"/>
          <w:sz w:val="22"/>
          <w:szCs w:val="22"/>
          <w:color w:val="auto"/>
        </w:rPr>
      </w:pPr>
    </w:p>
    <w:p>
      <w:pPr>
        <w:ind w:left="740" w:hanging="327"/>
        <w:spacing w:after="0" w:line="244" w:lineRule="auto"/>
        <w:tabs>
          <w:tab w:leader="none" w:pos="7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126" w:lineRule="exact"/>
        <w:rPr>
          <w:rFonts w:ascii="Times New Roman" w:cs="Times New Roman" w:eastAsia="Times New Roman" w:hAnsi="Times New Roman"/>
          <w:sz w:val="22"/>
          <w:szCs w:val="22"/>
          <w:color w:val="auto"/>
        </w:rPr>
      </w:pPr>
    </w:p>
    <w:p>
      <w:pPr>
        <w:ind w:left="740" w:hanging="327"/>
        <w:spacing w:after="0" w:line="234" w:lineRule="auto"/>
        <w:tabs>
          <w:tab w:leader="none" w:pos="7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properly perform under contracts and otherwise satisfy customers, as well as develop and successfully market new products and technologies in new markets;</w:t>
      </w:r>
    </w:p>
    <w:p>
      <w:pPr>
        <w:spacing w:after="0" w:line="113"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risks associated with the use of artificial intelligence (“</w:t>
      </w:r>
      <w:r>
        <w:rPr>
          <w:rFonts w:ascii="Times New Roman" w:cs="Times New Roman" w:eastAsia="Times New Roman" w:hAnsi="Times New Roman"/>
          <w:sz w:val="18"/>
          <w:szCs w:val="18"/>
          <w:b w:val="1"/>
          <w:bCs w:val="1"/>
          <w:i w:val="1"/>
          <w:iCs w:val="1"/>
          <w:color w:val="auto"/>
        </w:rPr>
        <w:t>AI</w:t>
      </w:r>
      <w:r>
        <w:rPr>
          <w:rFonts w:ascii="Times New Roman" w:cs="Times New Roman" w:eastAsia="Times New Roman" w:hAnsi="Times New Roman"/>
          <w:sz w:val="18"/>
          <w:szCs w:val="18"/>
          <w:color w:val="auto"/>
        </w:rPr>
        <w:t>”) and related tools and our ability to achieve expected results from AI;</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reliance on specialized third-party providers;</w:t>
      </w:r>
    </w:p>
    <w:p>
      <w:pPr>
        <w:spacing w:after="0" w:line="130" w:lineRule="exact"/>
        <w:rPr>
          <w:rFonts w:ascii="Times New Roman" w:cs="Times New Roman" w:eastAsia="Times New Roman" w:hAnsi="Times New Roman"/>
          <w:sz w:val="22"/>
          <w:szCs w:val="22"/>
          <w:color w:val="auto"/>
        </w:rPr>
      </w:pPr>
    </w:p>
    <w:p>
      <w:pPr>
        <w:ind w:left="740" w:hanging="327"/>
        <w:spacing w:after="0" w:line="234" w:lineRule="auto"/>
        <w:tabs>
          <w:tab w:leader="none" w:pos="7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113"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40" w:hanging="327"/>
        <w:spacing w:after="0" w:line="234" w:lineRule="auto"/>
        <w:tabs>
          <w:tab w:leader="none" w:pos="73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compete in a highly competitive and rapidly evolving market, including our ability to keep up with technological developments and changing customer preferences;</w:t>
      </w:r>
    </w:p>
    <w:p>
      <w:pPr>
        <w:spacing w:after="0" w:line="113"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goodwill and intangible assets have been subject to impairment and may be subject to further impairment in the future;</w:t>
      </w:r>
    </w:p>
    <w:p>
      <w:pPr>
        <w:spacing w:after="0" w:line="125"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failures in or breaches of our networks or systems, including as a result of cyber-attacks or other incidents;</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30" w:lineRule="exact"/>
        <w:rPr>
          <w:rFonts w:ascii="Times New Roman" w:cs="Times New Roman" w:eastAsia="Times New Roman" w:hAnsi="Times New Roman"/>
          <w:sz w:val="22"/>
          <w:szCs w:val="22"/>
          <w:color w:val="auto"/>
        </w:rPr>
      </w:pPr>
    </w:p>
    <w:p>
      <w:pPr>
        <w:ind w:left="740" w:right="20" w:hanging="327"/>
        <w:spacing w:after="0" w:line="234" w:lineRule="auto"/>
        <w:tabs>
          <w:tab w:leader="none" w:pos="73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successfully improve operational efficiencies, generate cost savings, and achieve expected benefits from our transformation and strategic initiatives, including organizational changes that could result in a change to our segment reporting;</w:t>
      </w:r>
    </w:p>
    <w:p>
      <w:pPr>
        <w:spacing w:after="0" w:line="132" w:lineRule="exact"/>
        <w:rPr>
          <w:rFonts w:ascii="Times New Roman" w:cs="Times New Roman" w:eastAsia="Times New Roman" w:hAnsi="Times New Roman"/>
          <w:sz w:val="22"/>
          <w:szCs w:val="22"/>
          <w:color w:val="auto"/>
        </w:rPr>
      </w:pPr>
    </w:p>
    <w:p>
      <w:pPr>
        <w:jc w:val="both"/>
        <w:ind w:left="740" w:hanging="327"/>
        <w:spacing w:after="0" w:line="246" w:lineRule="auto"/>
        <w:tabs>
          <w:tab w:leader="none" w:pos="73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risks related to our ongoing leadership transitions, including the transition to our new President and Chief Executive Officer, our reliance on an interim Chief Financial Officer provided through a third-party engagement and the search for a permanent Chief Financial Officer, and our ability to attract and retain key management personnel;</w:t>
      </w:r>
    </w:p>
    <w:p>
      <w:pPr>
        <w:spacing w:after="0" w:line="107"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risks and uncertainties related to litigation, including pending securities litigation, and other disputes and regulatory investigations;</w:t>
      </w:r>
    </w:p>
    <w:p>
      <w:pPr>
        <w:spacing w:after="0" w:line="7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risks and uncertainties related to our share repurchase program; and</w:t>
      </w:r>
    </w:p>
    <w:p>
      <w:pPr>
        <w:spacing w:after="0" w:line="7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manage our substantial level of indebtedness.</w:t>
      </w:r>
    </w:p>
    <w:p>
      <w:pPr>
        <w:spacing w:after="0" w:line="200" w:lineRule="exact"/>
        <w:rPr>
          <w:sz w:val="20"/>
          <w:szCs w:val="20"/>
          <w:color w:val="auto"/>
        </w:rPr>
      </w:pPr>
    </w:p>
    <w:p>
      <w:pPr>
        <w:spacing w:after="0" w:line="24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spacing w:after="0" w:line="7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Report refer to Verra Mobility Corporation, a Delaware corporation,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511"/>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1"/>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2280" w:type="dxa"/>
            <w:vAlign w:val="bottom"/>
            <w:tcBorders>
              <w:top w:val="single" w:sz="8" w:color="auto"/>
              <w:bottom w:val="single" w:sz="8" w:color="CFF0FC"/>
            </w:tcBorders>
          </w:tcPr>
          <w:p>
            <w:pPr>
              <w:spacing w:after="0"/>
              <w:rPr>
                <w:sz w:val="2"/>
                <w:szCs w:val="2"/>
                <w:color w:val="auto"/>
              </w:rPr>
            </w:pPr>
          </w:p>
        </w:tc>
        <w:tc>
          <w:tcPr>
            <w:tcW w:w="58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31"/>
        </w:trPr>
        <w:tc>
          <w:tcPr>
            <w:tcW w:w="20" w:type="dxa"/>
            <w:vAlign w:val="bottom"/>
            <w:shd w:val="clear" w:color="auto" w:fill="CFF0FC"/>
          </w:tcPr>
          <w:p>
            <w:pPr>
              <w:spacing w:after="0"/>
              <w:rPr>
                <w:sz w:val="20"/>
                <w:szCs w:val="20"/>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$20.7 million and $23.0 million at September 30,</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192,181</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61,534</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527,743</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266,947</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741,610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10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1,672,409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2280" w:type="dxa"/>
            <w:vAlign w:val="bottom"/>
            <w:tcBorders>
              <w:bottom w:val="single" w:sz="8" w:color="CFF0FC"/>
            </w:tcBorders>
          </w:tcPr>
          <w:p>
            <w:pPr>
              <w:spacing w:after="0" w:line="20" w:lineRule="exact"/>
              <w:rPr>
                <w:sz w:val="1"/>
                <w:szCs w:val="1"/>
                <w:color w:val="auto"/>
              </w:rPr>
            </w:pPr>
          </w:p>
        </w:tc>
        <w:tc>
          <w:tcPr>
            <w:tcW w:w="58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132,591</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210,459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1,023,056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1,021,157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1,407,592</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shd w:val="clear" w:color="auto" w:fill="CFF0FC"/>
          </w:tcPr>
          <w:p>
            <w:pPr>
              <w:spacing w:after="0"/>
              <w:rPr>
                <w:sz w:val="20"/>
                <w:szCs w:val="20"/>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A common stock, $0.0001 par value, 260,000 shares authorized with 152,008 and 153,557 shares issued</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outstanding at September 30, 2026 and December 31, 2025, respectively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547,274</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(267,736)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(243,759)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264,817</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1,672,409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24"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4"/>
                <w:szCs w:val="14"/>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2280" w:type="dxa"/>
            <w:vAlign w:val="bottom"/>
            <w:tcBorders>
              <w:top w:val="single" w:sz="8" w:color="auto"/>
              <w:bottom w:val="single" w:sz="8" w:color="CFF0FC"/>
            </w:tcBorders>
          </w:tcPr>
          <w:p>
            <w:pPr>
              <w:spacing w:after="0"/>
              <w:rPr>
                <w:sz w:val="2"/>
                <w:szCs w:val="2"/>
                <w:color w:val="auto"/>
              </w:rPr>
            </w:pPr>
          </w:p>
        </w:tc>
        <w:tc>
          <w:tcPr>
            <w:tcW w:w="27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239,905</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678,598</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50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46,027</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258,875</w:t>
            </w:r>
          </w:p>
        </w:tc>
        <w:tc>
          <w:tcPr>
            <w:tcW w:w="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261,938</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746,034</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243,092</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128,281</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(gain) loss on disposal of assets, net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502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193,315</w:t>
            </w:r>
          </w:p>
        </w:tc>
        <w:tc>
          <w:tcPr>
            <w:tcW w:w="80" w:type="dxa"/>
            <w:vAlign w:val="bottom"/>
            <w:tcBorders>
              <w:top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spacing w:after="0"/>
              <w:rPr>
                <w:sz w:val="23"/>
                <w:szCs w:val="2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0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spacing w:after="0"/>
              <w:rPr>
                <w:sz w:val="23"/>
                <w:szCs w:val="2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661,453</w:t>
            </w:r>
          </w:p>
        </w:tc>
        <w:tc>
          <w:tcPr>
            <w:tcW w:w="100" w:type="dxa"/>
            <w:vAlign w:val="bottom"/>
            <w:tcBorders>
              <w:top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spacing w:after="0"/>
              <w:rPr>
                <w:sz w:val="23"/>
                <w:szCs w:val="23"/>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525,829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tcPr>
          <w:p>
            <w:pPr>
              <w:spacing w:after="0"/>
              <w:rPr>
                <w:sz w:val="22"/>
                <w:szCs w:val="22"/>
                <w:color w:val="auto"/>
              </w:rPr>
            </w:pPr>
          </w:p>
        </w:tc>
        <w:tc>
          <w:tcPr>
            <w:tcW w:w="502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expenses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55,277</w:t>
            </w:r>
          </w:p>
        </w:tc>
        <w:tc>
          <w:tcPr>
            <w:tcW w:w="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53,539</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50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0" w:type="dxa"/>
            <w:vAlign w:val="bottom"/>
          </w:tcPr>
          <w:p>
            <w:pPr>
              <w:spacing w:after="0"/>
              <w:rPr>
                <w:sz w:val="1"/>
                <w:szCs w:val="1"/>
                <w:color w:val="auto"/>
              </w:rPr>
            </w:pPr>
          </w:p>
        </w:tc>
      </w:tr>
      <w:tr>
        <w:trPr>
          <w:trHeight w:val="288"/>
        </w:trPr>
        <w:tc>
          <w:tcPr>
            <w:tcW w:w="20" w:type="dxa"/>
            <w:vAlign w:val="bottom"/>
            <w:tcBorders>
              <w:bottom w:val="single" w:sz="8" w:color="CFF0FC"/>
            </w:tcBorders>
            <w:shd w:val="clear" w:color="auto" w:fill="CFF0FC"/>
          </w:tcPr>
          <w:p>
            <w:pPr>
              <w:spacing w:after="0"/>
              <w:rPr>
                <w:sz w:val="24"/>
                <w:szCs w:val="24"/>
                <w:color w:val="auto"/>
              </w:rPr>
            </w:pPr>
          </w:p>
        </w:tc>
        <w:tc>
          <w:tcPr>
            <w:tcW w:w="50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50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125,476</w:t>
            </w:r>
          </w:p>
        </w:tc>
        <w:tc>
          <w:tcPr>
            <w:tcW w:w="0" w:type="dxa"/>
            <w:vAlign w:val="bottom"/>
          </w:tcPr>
          <w:p>
            <w:pPr>
              <w:spacing w:after="0"/>
              <w:rPr>
                <w:sz w:val="1"/>
                <w:szCs w:val="1"/>
                <w:color w:val="auto"/>
              </w:rPr>
            </w:pPr>
          </w:p>
        </w:tc>
      </w:tr>
      <w:tr>
        <w:trPr>
          <w:trHeight w:val="21"/>
        </w:trPr>
        <w:tc>
          <w:tcPr>
            <w:tcW w:w="20" w:type="dxa"/>
            <w:vAlign w:val="bottom"/>
            <w:tcBorders>
              <w:bottom w:val="single" w:sz="8" w:color="CFF0FC"/>
            </w:tcBorders>
          </w:tcPr>
          <w:p>
            <w:pPr>
              <w:spacing w:after="0" w:line="20" w:lineRule="exact"/>
              <w:rPr>
                <w:sz w:val="1"/>
                <w:szCs w:val="1"/>
                <w:color w:val="auto"/>
              </w:rPr>
            </w:pPr>
          </w:p>
        </w:tc>
        <w:tc>
          <w:tcPr>
            <w:tcW w:w="2280" w:type="dxa"/>
            <w:vAlign w:val="bottom"/>
            <w:tcBorders>
              <w:bottom w:val="single" w:sz="8" w:color="CFF0FC"/>
            </w:tcBorders>
          </w:tcPr>
          <w:p>
            <w:pPr>
              <w:spacing w:after="0" w:line="20" w:lineRule="exact"/>
              <w:rPr>
                <w:sz w:val="1"/>
                <w:szCs w:val="1"/>
                <w:color w:val="auto"/>
              </w:rPr>
            </w:pPr>
          </w:p>
        </w:tc>
        <w:tc>
          <w:tcPr>
            <w:tcW w:w="27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151,996</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159,552</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151,930</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161,824</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8"/>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80" w:type="dxa"/>
            <w:vAlign w:val="bottom"/>
            <w:gridSpan w:val="1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restart"/>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0"/>
                <w:szCs w:val="10"/>
                <w:color w:val="auto"/>
              </w:rPr>
            </w:pPr>
          </w:p>
        </w:tc>
        <w:tc>
          <w:tcPr>
            <w:tcW w:w="132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1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3"/>
                <w:szCs w:val="13"/>
                <w:color w:val="auto"/>
              </w:rPr>
            </w:pPr>
          </w:p>
        </w:tc>
        <w:tc>
          <w:tcPr>
            <w:tcW w:w="1400" w:type="dxa"/>
            <w:vAlign w:val="bottom"/>
            <w:gridSpan w:val="2"/>
            <w:vMerge w:val="restart"/>
          </w:tcPr>
          <w:p>
            <w:pPr>
              <w:ind w:left="60"/>
              <w:spacing w:after="0" w:line="17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3"/>
                <w:szCs w:val="13"/>
                <w:color w:val="auto"/>
              </w:rPr>
            </w:pPr>
          </w:p>
        </w:tc>
        <w:tc>
          <w:tcPr>
            <w:tcW w:w="1620" w:type="dxa"/>
            <w:vAlign w:val="bottom"/>
            <w:gridSpan w:val="2"/>
            <w:vMerge w:val="restart"/>
          </w:tcPr>
          <w:p>
            <w:pPr>
              <w:jc w:val="center"/>
              <w:ind w:right="260"/>
              <w:spacing w:after="0" w:line="17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3"/>
                <w:szCs w:val="13"/>
                <w:color w:val="auto"/>
              </w:rPr>
            </w:pPr>
          </w:p>
        </w:tc>
        <w:tc>
          <w:tcPr>
            <w:tcW w:w="1320" w:type="dxa"/>
            <w:vAlign w:val="bottom"/>
            <w:vMerge w:val="restart"/>
          </w:tcPr>
          <w:p>
            <w:pPr>
              <w:jc w:val="center"/>
              <w:ind w:right="70"/>
              <w:spacing w:after="0" w:line="17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1120" w:type="dxa"/>
            <w:vAlign w:val="bottom"/>
            <w:tcBorders>
              <w:top w:val="single" w:sz="8" w:color="auto"/>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153,557</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547,274</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(243,759)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292,960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s") and performance share units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employee tax withholding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29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151,906</w:t>
            </w:r>
          </w:p>
        </w:tc>
        <w:tc>
          <w:tcPr>
            <w:tcW w:w="100" w:type="dxa"/>
            <w:vAlign w:val="bottom"/>
            <w:tcBorders>
              <w:top w:val="single" w:sz="8" w:color="CFF0FC"/>
            </w:tcBorders>
            <w:shd w:val="clear" w:color="auto" w:fill="CFF0FC"/>
          </w:tcPr>
          <w:p>
            <w:pPr>
              <w:spacing w:after="0"/>
              <w:rPr>
                <w:sz w:val="23"/>
                <w:szCs w:val="23"/>
                <w:color w:val="auto"/>
              </w:rPr>
            </w:pPr>
          </w:p>
        </w:tc>
        <w:tc>
          <w:tcPr>
            <w:tcW w:w="140" w:type="dxa"/>
            <w:vAlign w:val="bottom"/>
            <w:tcBorders>
              <w:top w:val="single" w:sz="8" w:color="auto"/>
            </w:tcBorders>
            <w:shd w:val="clear" w:color="auto" w:fill="CFF0FC"/>
          </w:tcPr>
          <w:p>
            <w:pPr>
              <w:spacing w:after="0"/>
              <w:rPr>
                <w:sz w:val="23"/>
                <w:szCs w:val="23"/>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541,507</w:t>
            </w:r>
          </w:p>
        </w:tc>
        <w:tc>
          <w:tcPr>
            <w:tcW w:w="80" w:type="dxa"/>
            <w:vAlign w:val="bottom"/>
            <w:tcBorders>
              <w:top w:val="single" w:sz="8" w:color="CFF0FC"/>
            </w:tcBorders>
            <w:shd w:val="clear" w:color="auto" w:fill="CFF0FC"/>
          </w:tcPr>
          <w:p>
            <w:pPr>
              <w:spacing w:after="0"/>
              <w:rPr>
                <w:sz w:val="23"/>
                <w:szCs w:val="23"/>
                <w:color w:val="auto"/>
              </w:rPr>
            </w:pPr>
          </w:p>
        </w:tc>
        <w:tc>
          <w:tcPr>
            <w:tcW w:w="180" w:type="dxa"/>
            <w:vAlign w:val="bottom"/>
            <w:tcBorders>
              <w:top w:val="single" w:sz="8" w:color="auto"/>
            </w:tcBorders>
            <w:shd w:val="clear" w:color="auto" w:fill="CFF0FC"/>
          </w:tcPr>
          <w:p>
            <w:pPr>
              <w:spacing w:after="0"/>
              <w:rPr>
                <w:sz w:val="23"/>
                <w:szCs w:val="23"/>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(259,946)</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 and PSUs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employee tax withholding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29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151,981</w:t>
            </w:r>
          </w:p>
        </w:tc>
        <w:tc>
          <w:tcPr>
            <w:tcW w:w="100" w:type="dxa"/>
            <w:vAlign w:val="bottom"/>
            <w:tcBorders>
              <w:top w:val="single" w:sz="8" w:color="CFF0FC"/>
            </w:tcBorders>
            <w:shd w:val="clear" w:color="auto" w:fill="CFF0FC"/>
          </w:tcPr>
          <w:p>
            <w:pPr>
              <w:spacing w:after="0"/>
              <w:rPr>
                <w:sz w:val="23"/>
                <w:szCs w:val="23"/>
                <w:color w:val="auto"/>
              </w:rPr>
            </w:pPr>
          </w:p>
        </w:tc>
        <w:tc>
          <w:tcPr>
            <w:tcW w:w="140" w:type="dxa"/>
            <w:vAlign w:val="bottom"/>
            <w:tcBorders>
              <w:top w:val="single" w:sz="8" w:color="auto"/>
            </w:tcBorders>
            <w:shd w:val="clear" w:color="auto" w:fill="CFF0FC"/>
          </w:tcPr>
          <w:p>
            <w:pPr>
              <w:spacing w:after="0"/>
              <w:rPr>
                <w:sz w:val="23"/>
                <w:szCs w:val="23"/>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541,477</w:t>
            </w:r>
          </w:p>
        </w:tc>
        <w:tc>
          <w:tcPr>
            <w:tcW w:w="80" w:type="dxa"/>
            <w:vAlign w:val="bottom"/>
            <w:tcBorders>
              <w:top w:val="single" w:sz="8" w:color="CFF0FC"/>
            </w:tcBorders>
            <w:shd w:val="clear" w:color="auto" w:fill="CFF0FC"/>
          </w:tcPr>
          <w:p>
            <w:pPr>
              <w:spacing w:after="0"/>
              <w:rPr>
                <w:sz w:val="23"/>
                <w:szCs w:val="23"/>
                <w:color w:val="auto"/>
              </w:rPr>
            </w:pPr>
          </w:p>
        </w:tc>
        <w:tc>
          <w:tcPr>
            <w:tcW w:w="180" w:type="dxa"/>
            <w:vAlign w:val="bottom"/>
            <w:tcBorders>
              <w:top w:val="single" w:sz="8" w:color="auto"/>
            </w:tcBorders>
            <w:shd w:val="clear" w:color="auto" w:fill="CFF0FC"/>
          </w:tcPr>
          <w:p>
            <w:pPr>
              <w:spacing w:after="0"/>
              <w:rPr>
                <w:sz w:val="23"/>
                <w:szCs w:val="23"/>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(308,124)</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 and PSUs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employee tax withholding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95"/>
        </w:trPr>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29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152,008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542,140</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(267,736)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264,817</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-805180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-985520</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-2150745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-3316605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-5099685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restart"/>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0"/>
                <w:szCs w:val="10"/>
                <w:color w:val="auto"/>
              </w:rPr>
            </w:pPr>
          </w:p>
        </w:tc>
        <w:tc>
          <w:tcPr>
            <w:tcW w:w="132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1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line="17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3"/>
                <w:szCs w:val="13"/>
                <w:color w:val="auto"/>
              </w:rPr>
            </w:pPr>
          </w:p>
        </w:tc>
        <w:tc>
          <w:tcPr>
            <w:tcW w:w="1620" w:type="dxa"/>
            <w:vAlign w:val="bottom"/>
            <w:gridSpan w:val="2"/>
            <w:vMerge w:val="restart"/>
          </w:tcPr>
          <w:p>
            <w:pPr>
              <w:jc w:val="center"/>
              <w:ind w:right="260"/>
              <w:spacing w:after="0" w:line="17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3"/>
                <w:szCs w:val="13"/>
                <w:color w:val="auto"/>
              </w:rPr>
            </w:pPr>
          </w:p>
        </w:tc>
        <w:tc>
          <w:tcPr>
            <w:tcW w:w="1320" w:type="dxa"/>
            <w:vAlign w:val="bottom"/>
            <w:vMerge w:val="restart"/>
          </w:tcPr>
          <w:p>
            <w:pPr>
              <w:jc w:val="center"/>
              <w:ind w:right="70"/>
              <w:spacing w:after="0" w:line="17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1120" w:type="dxa"/>
            <w:vAlign w:val="bottom"/>
            <w:tcBorders>
              <w:top w:val="single" w:sz="8" w:color="auto"/>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159,594</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(269,287)</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265,125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of RSUs and PSUs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employee tax withholding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29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159,422</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549,603</w:t>
            </w:r>
          </w:p>
        </w:tc>
        <w:tc>
          <w:tcPr>
            <w:tcW w:w="80" w:type="dxa"/>
            <w:vAlign w:val="bottom"/>
            <w:tcBorders>
              <w:top w:val="single" w:sz="8" w:color="CFF0FC"/>
            </w:tcBorders>
            <w:shd w:val="clear" w:color="auto" w:fill="CFF0FC"/>
          </w:tcPr>
          <w:p>
            <w:pPr>
              <w:spacing w:after="0"/>
              <w:rPr>
                <w:sz w:val="23"/>
                <w:szCs w:val="23"/>
                <w:color w:val="auto"/>
              </w:rPr>
            </w:pPr>
          </w:p>
        </w:tc>
        <w:tc>
          <w:tcPr>
            <w:tcW w:w="180" w:type="dxa"/>
            <w:vAlign w:val="bottom"/>
            <w:tcBorders>
              <w:top w:val="single" w:sz="8" w:color="auto"/>
            </w:tcBorders>
            <w:shd w:val="clear" w:color="auto" w:fill="CFF0FC"/>
          </w:tcPr>
          <w:p>
            <w:pPr>
              <w:spacing w:after="0"/>
              <w:rPr>
                <w:sz w:val="23"/>
                <w:szCs w:val="23"/>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(234,612)</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 and PSUs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1"/>
        </w:trPr>
        <w:tc>
          <w:tcPr>
            <w:tcW w:w="20" w:type="dxa"/>
            <w:vAlign w:val="bottom"/>
            <w:shd w:val="clear" w:color="auto" w:fill="CFF0FC"/>
          </w:tcPr>
          <w:p>
            <w:pPr>
              <w:spacing w:after="0"/>
              <w:rPr>
                <w:sz w:val="20"/>
                <w:szCs w:val="20"/>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employee tax withholding</w:t>
            </w: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159,532</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557,169</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(196,037)</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352,102</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of RSUs and PSUs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employee tax withholding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2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3"/>
                <w:szCs w:val="2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159,564</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562,172</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(149,204)</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proceeds from legal settlement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Unrealized loss on remeasurement of share-based proceeds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loss expense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Uncertain tax position reserve release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(39,635)</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215,828</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(84,868)</w:t>
            </w: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(84,653)</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Borrowings on Amended Revolver</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on Amended Revolver</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Repayment of term loan debt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financing arrangements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Repayment of equipment financing arrangements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63"/>
        </w:trPr>
        <w:tc>
          <w:tcPr>
            <w:tcW w:w="20" w:type="dxa"/>
            <w:vAlign w:val="bottom"/>
            <w:tcBorders>
              <w:bottom w:val="single" w:sz="8" w:color="CCEEFF"/>
            </w:tcBorders>
          </w:tcPr>
          <w:p>
            <w:pPr>
              <w:spacing w:after="0"/>
              <w:rPr>
                <w:sz w:val="22"/>
                <w:szCs w:val="22"/>
                <w:color w:val="auto"/>
              </w:rPr>
            </w:pPr>
          </w:p>
        </w:tc>
        <w:tc>
          <w:tcPr>
            <w:tcW w:w="81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64"/>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64"/>
        </w:trPr>
        <w:tc>
          <w:tcPr>
            <w:tcW w:w="20" w:type="dxa"/>
            <w:vAlign w:val="bottom"/>
            <w:tcBorders>
              <w:bottom w:val="single" w:sz="8" w:color="CCEEFF"/>
            </w:tcBorders>
          </w:tcPr>
          <w:p>
            <w:pPr>
              <w:spacing w:after="0"/>
              <w:rPr>
                <w:sz w:val="22"/>
                <w:szCs w:val="22"/>
                <w:color w:val="auto"/>
              </w:rPr>
            </w:pPr>
          </w:p>
        </w:tc>
        <w:tc>
          <w:tcPr>
            <w:tcW w:w="8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119,145</w:t>
            </w:r>
          </w:p>
        </w:tc>
      </w:tr>
      <w:tr>
        <w:trPr>
          <w:trHeight w:val="263"/>
        </w:trPr>
        <w:tc>
          <w:tcPr>
            <w:tcW w:w="20" w:type="dxa"/>
            <w:vAlign w:val="bottom"/>
            <w:tcBorders>
              <w:bottom w:val="single" w:sz="8" w:color="CCEEFF"/>
            </w:tcBorders>
          </w:tcPr>
          <w:p>
            <w:pPr>
              <w:spacing w:after="0"/>
              <w:rPr>
                <w:sz w:val="22"/>
                <w:szCs w:val="22"/>
                <w:color w:val="auto"/>
              </w:rPr>
            </w:pPr>
          </w:p>
        </w:tc>
        <w:tc>
          <w:tcPr>
            <w:tcW w:w="8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81,154</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ectPr>
          <w:pgSz w:w="11900" w:h="16838" w:orient="portrait"/>
          <w:cols w:equalWidth="0" w:num="1">
            <w:col w:w="11240"/>
          </w:cols>
          <w:pgMar w:left="320" w:top="121" w:right="33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7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 balance sheets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196,096</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 accrued</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at period-end</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customer consideration in prepaid expenses and other current assets and other non-current assets at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period-end</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acquired through vendor financing</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-1636395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-1816735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ind w:left="700" w:hanging="53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xml:space="preserve">”) offers integrated technology solutions and services to its customers who are located throughout the world, primarily within the United States, Australia, Europe, and Canada. Verra Mobility’s goal is to make transportation safer, smarter, and more connected through its integrated, data-driven solutions, including toll and violations management, title and registration services, automated safety and traffic enforcement, and commercial parking management. The Company brings together vehicles, hardware, software, data, and people to solve transportation challenges for customers around the world.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established relationships with individual tolling authorities throughout the United States, Commercial Services’ toll and violations management solutions facilitate timely payment of tolls and violations incurred by its customers’ vehicles, accurate transfer of liability on customers’ behalf, and billing of, and collections from, individual drivers. It also manages regional toll transponder installation and vehicle association—a critical and highly complex process for RAC, Direct Fleet, and FMC customers—to ensure that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Government Solutions segment provides photo enforcement automated safety solutions to states, municipalities, counties, school districts, and law enforcement agencies of all sizes, primarily in the United States and Australia. The Company’s proprietary technologies are designed to provide government agencies with the information, data, and automated end-to-end administrative capabilities to enforce traffic violations through photo enforcement, with the goal of reducing traffic violations and resulting collisions, injuries, and fatalities. The Company installs, maintains, and manages hardware and software automated safety solutions to process event data, apply customer-specific rules, and connect traffic violations to responsible drivers or vehicle owners on behalf of customers. The Company also offers an end-to-end solution, in which it automatically sends captured events to a customer’s designated enforcement agency, and, once a violation is confirmed, the Company manages citation mailing, billing, and other administrative tasks on behalf of the customer. The international operations for this segment primarily involve the sale of traffic enforcement products and recurring maintenance services related to the equipment and software.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Parking Solutions segment provides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customers throughout the United States and Canada.</w:t>
      </w:r>
    </w:p>
    <w:p>
      <w:pPr>
        <w:spacing w:after="0" w:line="176" w:lineRule="exact"/>
        <w:rPr>
          <w:sz w:val="20"/>
          <w:szCs w:val="20"/>
          <w:color w:val="auto"/>
        </w:rPr>
      </w:pPr>
    </w:p>
    <w:p>
      <w:pPr>
        <w:ind w:left="700" w:hanging="530"/>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a single Government Solutions customer exceeded 10% of total revenue. NYCDOT represented 24.1% and 19.5% of total revenue for the three months ended September 30, 2026 and 2025, respectively, and 20.6% and 16.7% of total revenue for the nine months ended September 30, 2026 and 2025, respectively. NYCDOT represented 11.2% and 31.1% of total accounts receivable, net as of September 30, 2026 and December 31, 2025, respectively. There was also approximately $55.6 million of unbilled revenue related to NYCDOT as of September 30, 2026. There is no material reserve related to NYCDOT open receivables as amounts are deemed collectible based on current conditions and expectations. No other Government Solutions customer exceeded 10% of total accounts receivable, net as of September 30, 2026 or December 31, 2025.</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customer revenues were generated through two of the Company’s Commercial Services customers, with each exceeding 10% of total revenue for certain of the periods presented. Commercial Services Customer A was below 10% of total revenue for the three and nine months ended September 30, 2026 and represented 16.2% and 15.6% of total revenue for the three and nine months ended September 30, 2025, respectively. Commercial Services Customer B represented 13.9% and 11.4% of total revenue for the three months ended September 30, 2026 and 2025, respectively, and 12.9% and 11.5% of total revenue for the nine months ended September 30, 2026 and 2025, respectively. Commercial Services Customer C was below 10% of total revenue for the three months ended September 30, 2026 and represented 10.4% of total revenue for the three months ended September 30, 2025 and 10.0% and 10.6% of total revenue for the nine months ended September 30, 2026 and 2025, respectively. No Commercial Services customer exceeded 10% of total accounts receivable, net as of September 30, 2026 or December 31, 2025.</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 net for the Parking Solutions segment as of or for any period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activity in the allowance for credit losses by reportable segment for the nine months ended September 30, 2026 and 2025,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3" w:lineRule="exact"/>
              <w:rPr>
                <w:sz w:val="20"/>
                <w:szCs w:val="20"/>
                <w:color w:val="auto"/>
              </w:rPr>
            </w:pPr>
            <w:r>
              <w:rPr>
                <w:rFonts w:ascii="Times New Roman" w:cs="Times New Roman" w:eastAsia="Times New Roman" w:hAnsi="Times New Roman"/>
                <w:sz w:val="14"/>
                <w:szCs w:val="14"/>
                <w:b w:val="1"/>
                <w:bCs w:val="1"/>
                <w:color w:val="auto"/>
                <w:w w:val="98"/>
              </w:rPr>
              <w:t>Services</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center"/>
              <w:ind w:left="516"/>
              <w:spacing w:after="0"/>
              <w:rPr>
                <w:sz w:val="20"/>
                <w:szCs w:val="20"/>
                <w:color w:val="auto"/>
              </w:rPr>
            </w:pPr>
            <w:r>
              <w:rPr>
                <w:rFonts w:ascii="Times New Roman" w:cs="Times New Roman" w:eastAsia="Times New Roman" w:hAnsi="Times New Roman"/>
                <w:sz w:val="18"/>
                <w:szCs w:val="18"/>
                <w:color w:val="auto"/>
              </w:rPr>
              <w:t>21,530</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center"/>
              <w:ind w:left="414"/>
              <w:spacing w:after="0"/>
              <w:rPr>
                <w:sz w:val="20"/>
                <w:szCs w:val="20"/>
                <w:color w:val="auto"/>
              </w:rPr>
            </w:pPr>
            <w:r>
              <w:rPr>
                <w:rFonts w:ascii="Times New Roman" w:cs="Times New Roman" w:eastAsia="Times New Roman" w:hAnsi="Times New Roman"/>
                <w:sz w:val="18"/>
                <w:szCs w:val="18"/>
                <w:color w:val="auto"/>
                <w:w w:val="96"/>
              </w:rPr>
              <w:t>23,004</w:t>
            </w:r>
          </w:p>
        </w:tc>
      </w:tr>
      <w:tr>
        <w:trPr>
          <w:trHeight w:val="263"/>
        </w:trPr>
        <w:tc>
          <w:tcPr>
            <w:tcW w:w="20" w:type="dxa"/>
            <w:vAlign w:val="bottom"/>
          </w:tcPr>
          <w:p>
            <w:pPr>
              <w:spacing w:after="0"/>
              <w:rPr>
                <w:sz w:val="22"/>
                <w:szCs w:val="22"/>
                <w:color w:val="auto"/>
              </w:rPr>
            </w:pP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tcPr>
          <w:p>
            <w:pPr>
              <w:spacing w:after="0"/>
              <w:rPr>
                <w:sz w:val="22"/>
                <w:szCs w:val="22"/>
                <w:color w:val="auto"/>
              </w:rPr>
            </w:pPr>
          </w:p>
        </w:tc>
        <w:tc>
          <w:tcPr>
            <w:tcW w:w="126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rPr>
              <w:t>13,196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w w:val="96"/>
              </w:rPr>
              <w:t>13,836</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center"/>
              <w:ind w:left="496"/>
              <w:spacing w:after="0"/>
              <w:rPr>
                <w:sz w:val="20"/>
                <w:szCs w:val="20"/>
                <w:color w:val="auto"/>
              </w:rPr>
            </w:pPr>
            <w:r>
              <w:rPr>
                <w:rFonts w:ascii="Times New Roman" w:cs="Times New Roman" w:eastAsia="Times New Roman" w:hAnsi="Times New Roman"/>
                <w:sz w:val="18"/>
                <w:szCs w:val="18"/>
                <w:color w:val="auto"/>
                <w:w w:val="97"/>
              </w:rPr>
              <w:t>(16,152)</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center"/>
              <w:ind w:left="394"/>
              <w:spacing w:after="0"/>
              <w:rPr>
                <w:sz w:val="20"/>
                <w:szCs w:val="20"/>
                <w:color w:val="auto"/>
              </w:rPr>
            </w:pPr>
            <w:r>
              <w:rPr>
                <w:rFonts w:ascii="Times New Roman" w:cs="Times New Roman" w:eastAsia="Times New Roman" w:hAnsi="Times New Roman"/>
                <w:sz w:val="18"/>
                <w:szCs w:val="18"/>
                <w:color w:val="auto"/>
              </w:rPr>
              <w:t>(16,153)</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rPr>
              <w:t>18,574</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6"/>
              </w:rPr>
              <w:t>20,687</w:t>
            </w: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9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3" w:lineRule="exact"/>
              <w:rPr>
                <w:sz w:val="20"/>
                <w:szCs w:val="20"/>
                <w:color w:val="auto"/>
              </w:rPr>
            </w:pPr>
            <w:r>
              <w:rPr>
                <w:rFonts w:ascii="Times New Roman" w:cs="Times New Roman" w:eastAsia="Times New Roman" w:hAnsi="Times New Roman"/>
                <w:sz w:val="14"/>
                <w:szCs w:val="14"/>
                <w:b w:val="1"/>
                <w:bCs w:val="1"/>
                <w:color w:val="auto"/>
                <w:w w:val="98"/>
              </w:rPr>
              <w:t>Services</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center"/>
              <w:ind w:left="516"/>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center"/>
              <w:ind w:left="414"/>
              <w:spacing w:after="0"/>
              <w:rPr>
                <w:sz w:val="20"/>
                <w:szCs w:val="20"/>
                <w:color w:val="auto"/>
              </w:rPr>
            </w:pPr>
            <w:r>
              <w:rPr>
                <w:rFonts w:ascii="Times New Roman" w:cs="Times New Roman" w:eastAsia="Times New Roman" w:hAnsi="Times New Roman"/>
                <w:sz w:val="18"/>
                <w:szCs w:val="18"/>
                <w:color w:val="auto"/>
                <w:w w:val="96"/>
              </w:rPr>
              <w:t>17,018</w:t>
            </w:r>
          </w:p>
        </w:tc>
      </w:tr>
      <w:tr>
        <w:trPr>
          <w:trHeight w:val="263"/>
        </w:trPr>
        <w:tc>
          <w:tcPr>
            <w:tcW w:w="20" w:type="dxa"/>
            <w:vAlign w:val="bottom"/>
          </w:tcPr>
          <w:p>
            <w:pPr>
              <w:spacing w:after="0"/>
              <w:rPr>
                <w:sz w:val="22"/>
                <w:szCs w:val="22"/>
                <w:color w:val="auto"/>
              </w:rPr>
            </w:pP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tcPr>
          <w:p>
            <w:pPr>
              <w:spacing w:after="0"/>
              <w:rPr>
                <w:sz w:val="22"/>
                <w:szCs w:val="22"/>
                <w:color w:val="auto"/>
              </w:rPr>
            </w:pPr>
          </w:p>
        </w:tc>
        <w:tc>
          <w:tcPr>
            <w:tcW w:w="126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rPr>
              <w:t>17,280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w w:val="96"/>
              </w:rPr>
              <w:t>18,377</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center"/>
              <w:ind w:left="496"/>
              <w:spacing w:after="0"/>
              <w:rPr>
                <w:sz w:val="20"/>
                <w:szCs w:val="20"/>
                <w:color w:val="auto"/>
              </w:rPr>
            </w:pPr>
            <w:r>
              <w:rPr>
                <w:rFonts w:ascii="Times New Roman" w:cs="Times New Roman" w:eastAsia="Times New Roman" w:hAnsi="Times New Roman"/>
                <w:sz w:val="18"/>
                <w:szCs w:val="18"/>
                <w:color w:val="auto"/>
                <w:w w:val="97"/>
              </w:rPr>
              <w:t>(11,812)</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center"/>
              <w:ind w:left="394"/>
              <w:spacing w:after="0"/>
              <w:rPr>
                <w:sz w:val="20"/>
                <w:szCs w:val="20"/>
                <w:color w:val="auto"/>
              </w:rPr>
            </w:pPr>
            <w:r>
              <w:rPr>
                <w:rFonts w:ascii="Times New Roman" w:cs="Times New Roman" w:eastAsia="Times New Roman" w:hAnsi="Times New Roman"/>
                <w:sz w:val="18"/>
                <w:szCs w:val="18"/>
                <w:color w:val="auto"/>
              </w:rPr>
              <w:t>(12,314)</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rPr>
              <w:t>21,506</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6"/>
              </w:rPr>
              <w:t>23,081</w:t>
            </w: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580" w:hanging="410"/>
        <w:spacing w:after="0" w:line="261"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91% and 85% of the total Commercial Services allowance for credit losses as of September 30,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primarily relates to Government Solutions and Parking Solutions customers. As of September 30, 2026 and December 31, 2025, the Company had approximately $9.3 million and $8.9 million of deferred revenue in the Government Solutions segment, respectively. The Company recognized $0.7 million and $0.9</w:t>
      </w:r>
    </w:p>
    <w:p>
      <w:pPr>
        <w:jc w:val="both"/>
        <w:spacing w:after="0" w:line="256" w:lineRule="auto"/>
        <w:rPr>
          <w:sz w:val="20"/>
          <w:szCs w:val="20"/>
          <w:color w:val="auto"/>
        </w:rPr>
      </w:pPr>
      <w:r>
        <w:rPr>
          <w:rFonts w:ascii="Times New Roman" w:cs="Times New Roman" w:eastAsia="Times New Roman" w:hAnsi="Times New Roman"/>
          <w:sz w:val="18"/>
          <w:szCs w:val="18"/>
          <w:color w:val="auto"/>
        </w:rPr>
        <w:t>million of revenue excluding exchange rate impact during the three months ended September 30, 2026 and 2025, respectively, and $5.4 million and $6.5 million of revenue excluding exchange rate impact during the nine months ended September 30, 2026 and 2025, respectively, related to amounts that were included in deferred revenue as of December 31, 2025 and 2024. As of September 30, 2026 and December 31, 2025, the Company had approximately $22.4 million and $20.1 million of deferred revenue in the Parking Solutions segment, respectively. The Company recognized $2.7 million and $1.1 million of revenue during the three months ended September 30, 2026 and 2025, respectively, and $18.3 million and $18.9 million of revenue during the nine months ended September 30, 2026 and 2025, respectively, related to amounts that were included in deferred revenue as of December 31, 2025 and 2024.</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an enforceable contract term of one year or less and the amount that relates to variable consideration allocated to a wholly unsatisfied performance obligation to transfer a distinct good or service within a series of distinct goods or services that form a single performance obligation. As of September 30, 2026, total transaction price allocated to performance obligations in the Government Solutions segment that were unsatisfied or partially unsatisfied was $187.0 million, of which $81.9 million is expected to be recognized as revenue in the next twelve months and the rest over the remaining performance obligation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public companies to disclose, in the notes to financial statements, 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accounting standard on its financial statements and disclosures.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The ASU removes all references to prescriptive and sequential software development stages. The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begin capitalizing software costs when management authorizes and commits to funding the software project and it is probable that the project will be completed and the software will be used for its intended purpose. The guidance is effective for annual periods beginning after December 15, 2027 and interim periods within fiscal years beginning after December 15, 2027. The guidance can be applied on a prospective basis, a modified basis for in-process projects, or on a retrospective basis. Early adoption is permitted. The Company is currently evaluating the impact of this accounting standard on its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00" w:hanging="530"/>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513"/>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3"/>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0" w:type="dxa"/>
            <w:vAlign w:val="bottom"/>
          </w:tcPr>
          <w:p>
            <w:pPr>
              <w:spacing w:after="0"/>
              <w:rPr>
                <w:sz w:val="1"/>
                <w:szCs w:val="1"/>
                <w:color w:val="auto"/>
              </w:rPr>
            </w:pPr>
          </w:p>
        </w:tc>
      </w:tr>
      <w:tr>
        <w:trPr>
          <w:trHeight w:val="288"/>
        </w:trPr>
        <w:tc>
          <w:tcPr>
            <w:tcW w:w="20" w:type="dxa"/>
            <w:vAlign w:val="bottom"/>
            <w:tcBorders>
              <w:bottom w:val="single" w:sz="8" w:color="CFF0FC"/>
            </w:tcBorders>
            <w:shd w:val="clear" w:color="auto" w:fill="CFF0FC"/>
          </w:tcPr>
          <w:p>
            <w:pPr>
              <w:spacing w:after="0"/>
              <w:rPr>
                <w:sz w:val="24"/>
                <w:szCs w:val="24"/>
                <w:color w:val="auto"/>
              </w:rPr>
            </w:pPr>
          </w:p>
        </w:tc>
        <w:tc>
          <w:tcPr>
            <w:tcW w:w="81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65,313</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61,534</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7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6" w:lineRule="exact"/>
        <w:rPr>
          <w:sz w:val="20"/>
          <w:szCs w:val="20"/>
          <w:color w:val="auto"/>
        </w:rPr>
      </w:pPr>
    </w:p>
    <w:p>
      <w:pPr>
        <w:ind w:left="700" w:hanging="53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2026 Impairment Assessments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2026, the Company identified impairment indicators resulting from a sustained decline in its share price, the loss of a significant customer and changes in executive leadership. Accordingly, the Company performed interim impairment assessments of its long-lived assets and goodwill as of May 31, 2026. The Company evaluated the recoverability of its long-lived asset groups before performing its quantitative goodwill impairment tests.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first evaluated the recoverability of its long-lived asset groups by comparing the carrying amount of each asset group with the estimated undiscounted cash flows expected to be generated by the asset group. The estimated undiscounted cash flows of the Parking Solutions asset groups, consisting of customer relationships, trademark and developed technology, were less than its carrying amount. Accordingly, the Company measured the asset group at fair value and recognized a $40.4 million impairment of intangible assets during the nine months ended September 30, 2026, primarily allocated to customer relationships. The impairment loss is presented separately within impairment of intangible assets on the condensed consolidated statements of operations. The Company did not identify an impairment of the long-lived asset groups associated with its other reporting units.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recognizing the long-lived asset impairment and related deferred-tax effects, the Company performed quantitative goodwill impairment tests for each of its reporting units. The estimated fair values of the Commercial Services, Government Solutions North America and Government Solutions International reporting units exceeded their respective carrying amounts, and no goodwill impairment was recognized for those reporting units. The estimated fair value of the Parking Solutions reporting unit was less than its carrying amount. Accordingly, the Company recognized a $64.0 million goodwill impairment during the nine months ended September 30, 2026, which is presented separately within goodwill impairment on the condensed consolidated statements of operations.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estimated the fair values of its reporting units by equally weighting the results of the income approach and market approach methods, which are based on the present value of future discounted cash flows and market data, respectively, and are classified as Level 3 inputs on the fair value hierarchy. Under the income approach, the Company used a discounted cash flow method based on projected cash flows and terminal values discounted using market-participant weighted-average costs of capital. Significant assumptions included revenue growth rates, EBITDA margins, terminal growth rates and discount rates. Under the market approach, the Company primarily applied EBITDA multiples derived from selected guideline public companies. Significant assumptions included the selection of guideline public companies, projected EBITDA, and the selected valuation multiples. The fair value of the impaired customer relationships was estimated using income-based valuation techniques, including the multi-period excess earnings method, which are Level 3 measurements in the fair value hierarchy. Significant assumptions included projected revenue, customer attrition rates, contributory asset charges and discount rates.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Parking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0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3"/>
                <w:szCs w:val="13"/>
                <w:color w:val="auto"/>
              </w:rPr>
            </w:pPr>
          </w:p>
        </w:tc>
        <w:tc>
          <w:tcPr>
            <w:tcW w:w="1140" w:type="dxa"/>
            <w:vAlign w:val="bottom"/>
          </w:tcPr>
          <w:p>
            <w:pPr>
              <w:jc w:val="right"/>
              <w:ind w:right="494"/>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425,231</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214,313</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741,610</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(64,037)</w:t>
            </w:r>
          </w:p>
        </w:tc>
      </w:tr>
      <w:tr>
        <w:trPr>
          <w:trHeight w:val="270"/>
        </w:trPr>
        <w:tc>
          <w:tcPr>
            <w:tcW w:w="20" w:type="dxa"/>
            <w:vAlign w:val="bottom"/>
            <w:shd w:val="clear" w:color="auto" w:fill="CFF0FC"/>
          </w:tcPr>
          <w:p>
            <w:pPr>
              <w:spacing w:after="0"/>
              <w:rPr>
                <w:sz w:val="23"/>
                <w:szCs w:val="23"/>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70"/>
        </w:trPr>
        <w:tc>
          <w:tcPr>
            <w:tcW w:w="20" w:type="dxa"/>
            <w:vAlign w:val="bottom"/>
          </w:tcPr>
          <w:p>
            <w:pPr>
              <w:spacing w:after="0"/>
              <w:rPr>
                <w:sz w:val="23"/>
                <w:szCs w:val="23"/>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423,961</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214,799</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676,789</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-736600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27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2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180" w:type="dxa"/>
            <w:vAlign w:val="bottom"/>
          </w:tcPr>
          <w:p>
            <w:pPr>
              <w:jc w:val="center"/>
              <w:ind w:right="197"/>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3"/>
                <w:szCs w:val="13"/>
                <w:color w:val="auto"/>
              </w:rPr>
            </w:pPr>
          </w:p>
        </w:tc>
        <w:tc>
          <w:tcPr>
            <w:tcW w:w="1200" w:type="dxa"/>
            <w:vAlign w:val="bottom"/>
          </w:tcPr>
          <w:p>
            <w:pPr>
              <w:jc w:val="center"/>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523,344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449,405</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559,256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412,488</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5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36,348</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40,656</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0" w:type="dxa"/>
            <w:vAlign w:val="bottom"/>
          </w:tcPr>
          <w:p>
            <w:pPr>
              <w:spacing w:after="0"/>
              <w:rPr>
                <w:sz w:val="1"/>
                <w:szCs w:val="1"/>
                <w:color w:val="auto"/>
              </w:rPr>
            </w:pPr>
          </w:p>
        </w:tc>
      </w:tr>
      <w:tr>
        <w:trPr>
          <w:trHeight w:val="290"/>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564,424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477,260</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605,234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436,593</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500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(477,260)</w:t>
            </w: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(436,593)</w:t>
            </w: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CFF0FC"/>
            </w:tcBorders>
          </w:tcPr>
          <w:p>
            <w:pPr>
              <w:spacing w:after="0"/>
              <w:rPr>
                <w:sz w:val="18"/>
                <w:szCs w:val="18"/>
                <w:color w:val="auto"/>
              </w:rPr>
            </w:pPr>
          </w:p>
        </w:tc>
        <w:tc>
          <w:tcPr>
            <w:tcW w:w="5000" w:type="dxa"/>
            <w:vAlign w:val="bottom"/>
            <w:tcBorders>
              <w:bottom w:val="single" w:sz="8" w:color="CFF0FC"/>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50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87,164</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-402590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-582295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-1276985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jc w:val="both"/>
        <w:ind w:firstLine="891"/>
        <w:spacing w:after="0" w:line="282" w:lineRule="auto"/>
        <w:rPr>
          <w:sz w:val="20"/>
          <w:szCs w:val="20"/>
          <w:color w:val="auto"/>
        </w:rPr>
      </w:pPr>
      <w:r>
        <w:rPr>
          <w:rFonts w:ascii="Times New Roman" w:cs="Times New Roman" w:eastAsia="Times New Roman" w:hAnsi="Times New Roman"/>
          <w:sz w:val="18"/>
          <w:szCs w:val="18"/>
          <w:color w:val="auto"/>
        </w:rPr>
        <w:t>Amortization expense was $11.6 million and $15.6 million for the three months ended September 30, 2026 and 2025, respectively, and was $41.5 million and $48.7 million for the nine months ended September 30, 2026 and 2025, respectively.</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shd w:val="clear" w:color="auto" w:fill="CFF0FC"/>
          </w:tcPr>
          <w:p>
            <w:pPr>
              <w:spacing w:after="0"/>
              <w:rPr>
                <w:sz w:val="23"/>
                <w:szCs w:val="23"/>
                <w:color w:val="auto"/>
              </w:rPr>
            </w:pPr>
          </w:p>
        </w:tc>
        <w:tc>
          <w:tcPr>
            <w:tcW w:w="9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6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21,169</w:t>
            </w:r>
          </w:p>
        </w:tc>
      </w:tr>
      <w:tr>
        <w:trPr>
          <w:trHeight w:val="277"/>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76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15,167</w:t>
            </w:r>
          </w:p>
        </w:tc>
      </w:tr>
      <w:tr>
        <w:trPr>
          <w:trHeight w:val="26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r>
      <w:tr>
        <w:trPr>
          <w:trHeight w:val="277"/>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76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w:t>
            </w:r>
          </w:p>
        </w:tc>
      </w:tr>
      <w:tr>
        <w:trPr>
          <w:trHeight w:val="263"/>
        </w:trPr>
        <w:tc>
          <w:tcPr>
            <w:tcW w:w="20" w:type="dxa"/>
            <w:vAlign w:val="bottom"/>
            <w:tcBorders>
              <w:bottom w:val="single" w:sz="8" w:color="CFF0FC"/>
            </w:tcBorders>
          </w:tcPr>
          <w:p>
            <w:pPr>
              <w:spacing w:after="0"/>
              <w:rPr>
                <w:sz w:val="22"/>
                <w:szCs w:val="22"/>
                <w:color w:val="auto"/>
              </w:rPr>
            </w:pPr>
          </w:p>
        </w:tc>
        <w:tc>
          <w:tcPr>
            <w:tcW w:w="9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11,727</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97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87,164</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7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00" w:hanging="53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3"/>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300" w:type="dxa"/>
            <w:vAlign w:val="bottom"/>
            <w:tcBorders>
              <w:top w:val="single" w:sz="8" w:color="auto"/>
              <w:bottom w:val="single" w:sz="8" w:color="CFF0FC"/>
            </w:tcBorders>
          </w:tcPr>
          <w:p>
            <w:pPr>
              <w:spacing w:after="0"/>
              <w:rPr>
                <w:sz w:val="2"/>
                <w:szCs w:val="2"/>
                <w:color w:val="auto"/>
              </w:rPr>
            </w:pPr>
          </w:p>
        </w:tc>
        <w:tc>
          <w:tcPr>
            <w:tcW w:w="6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customer consideration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Self-insurance liability</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69,851</w:t>
            </w:r>
          </w:p>
        </w:tc>
        <w:tc>
          <w:tcPr>
            <w:tcW w:w="0" w:type="dxa"/>
            <w:vAlign w:val="bottom"/>
          </w:tcPr>
          <w:p>
            <w:pPr>
              <w:spacing w:after="0"/>
              <w:rPr>
                <w:sz w:val="1"/>
                <w:szCs w:val="1"/>
                <w:color w:val="auto"/>
              </w:rPr>
            </w:pPr>
          </w:p>
        </w:tc>
      </w:tr>
      <w:tr>
        <w:trPr>
          <w:trHeight w:val="27"/>
        </w:trPr>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78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Debt, Net</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320" w:type="dxa"/>
            <w:vAlign w:val="bottom"/>
            <w:gridSpan w:val="2"/>
            <w:vMerge w:val="continue"/>
          </w:tcPr>
          <w:p>
            <w:pPr>
              <w:spacing w:after="0"/>
              <w:rPr>
                <w:sz w:val="24"/>
                <w:szCs w:val="24"/>
                <w:color w:val="auto"/>
              </w:rPr>
            </w:pPr>
          </w:p>
        </w:tc>
        <w:tc>
          <w:tcPr>
            <w:tcW w:w="7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debt, net at:</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300" w:type="dxa"/>
            <w:vAlign w:val="bottom"/>
            <w:tcBorders>
              <w:top w:val="single" w:sz="8" w:color="auto"/>
              <w:bottom w:val="single" w:sz="8" w:color="CFF0FC"/>
            </w:tcBorders>
          </w:tcPr>
          <w:p>
            <w:pPr>
              <w:spacing w:after="0"/>
              <w:rPr>
                <w:sz w:val="2"/>
                <w:szCs w:val="2"/>
                <w:color w:val="auto"/>
              </w:rPr>
            </w:pPr>
          </w:p>
        </w:tc>
        <w:tc>
          <w:tcPr>
            <w:tcW w:w="6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Amended Term Loan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681,916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1,028,045</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1,023,056</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-4148455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left="980" w:hanging="405"/>
        <w:spacing w:after="0" w:line="282" w:lineRule="auto"/>
        <w:tabs>
          <w:tab w:leader="none" w:pos="9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consists of certain equipment financing arrangements entered into in the normal course of business, including certain equipment leases and purchases accounted for as financing arrangements.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Amended Term Loan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had an aggregate borrowing of $900.0 million, maturing on March 24, 2028. In connection with the 2021 Term Loan borrowings, the Company had $4.6 million of offering discount costs and $4.5 million in deferred financing costs, both of which were capitalized and amortized over the life of the 2021 Term Loan. Such offering discount costs and deferred financing costs have subsequently been adjusted as needed as a result of refinancing activity discussed below which prompted re-evaluation of unamortized amounts on a lender-by-lender basis.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VM Consolidated and certain of the Company’s subsidiaries entered into the Amendment and Restatement Agreement No. 2 to the Amended and Restated First Lien Term Loan Credit Agreement dated as of March 26, 2021 (such agreement amended and restated, the “</w:t>
      </w:r>
      <w:r>
        <w:rPr>
          <w:rFonts w:ascii="Times New Roman" w:cs="Times New Roman" w:eastAsia="Times New Roman" w:hAnsi="Times New Roman"/>
          <w:sz w:val="18"/>
          <w:szCs w:val="18"/>
          <w:b w:val="1"/>
          <w:bCs w:val="1"/>
          <w:i w:val="1"/>
          <w:iCs w:val="1"/>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Restated Term Loan Agreement</w:t>
      </w:r>
      <w:r>
        <w:rPr>
          <w:rFonts w:ascii="Times New Roman" w:cs="Times New Roman" w:eastAsia="Times New Roman" w:hAnsi="Times New Roman"/>
          <w:sz w:val="18"/>
          <w:szCs w:val="18"/>
          <w:color w:val="auto"/>
        </w:rPr>
        <w:t>”), to refinance the existing senior secured term loans in an aggregate outstanding principal amount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$688.8 million with a new senior secured term loan of the same principal amount maturing on October 15, 2032 (the “</w:t>
      </w:r>
      <w:r>
        <w:rPr>
          <w:rFonts w:ascii="Times New Roman" w:cs="Times New Roman" w:eastAsia="Times New Roman" w:hAnsi="Times New Roman"/>
          <w:sz w:val="18"/>
          <w:szCs w:val="18"/>
          <w:b w:val="1"/>
          <w:bCs w:val="1"/>
          <w:i w:val="1"/>
          <w:iCs w:val="1"/>
          <w:color w:val="auto"/>
        </w:rPr>
        <w:t>Amended Term Loan</w:t>
      </w:r>
      <w:r>
        <w:rPr>
          <w:rFonts w:ascii="Times New Roman" w:cs="Times New Roman" w:eastAsia="Times New Roman" w:hAnsi="Times New Roman"/>
          <w:sz w:val="18"/>
          <w:szCs w:val="18"/>
          <w:color w:val="auto"/>
        </w:rPr>
        <w:t>”). The proceeds from the Amended Term Loan were used in their entirety to prepay in full the outstanding principal amount of the existing term loan under the 2021 Term Loan agreement.</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Amended Term Loan bears interest at a per annum rate equal to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plus an applicable margin of 2.00%, or a base rate plus an applicable margin of 1.00%. As of September 30, 2026, the interest rate on the Amended Term Loan was 5.9%. The Amended Term Loan amortizes in equal quarterly installments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The Company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126"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made quarterly repayments totaling $5.2 million on the Amended Term Loan. During the nine months ended September 30, 2025, the Company made voluntary prepayments totaling $6.8 million on the 2021 Term Loan. As a result, the total principal outstanding was $681.9 million as of September 30, 2026.</w:t>
      </w:r>
    </w:p>
    <w:p>
      <w:pPr>
        <w:spacing w:after="0" w:line="122"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recorded less than $0.1 million of loss on extinguishment of debt during both the three and nine months ended September 30, 2025, related to the write-off of pre-existing deferred financing costs and discounts in connection with the early repayments.</w:t>
      </w:r>
    </w:p>
    <w:p>
      <w:pPr>
        <w:spacing w:after="0" w:line="108"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6"/>
        </w:trPr>
        <w:tc>
          <w:tcPr>
            <w:tcW w:w="97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in the Amended and Restated Term Loan Agreement)</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96"/>
        </w:trPr>
        <w:tc>
          <w:tcPr>
            <w:tcW w:w="9760" w:type="dxa"/>
            <w:vAlign w:val="bottom"/>
            <w:gridSpan w:val="6"/>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70"/>
        </w:trPr>
        <w:tc>
          <w:tcPr>
            <w:tcW w:w="9660" w:type="dxa"/>
            <w:vAlign w:val="bottom"/>
            <w:tcBorders>
              <w:top w:val="single" w:sz="8" w:color="auto"/>
            </w:tcBorders>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100" w:type="dxa"/>
            <w:vAlign w:val="bottom"/>
            <w:tcBorders>
              <w:top w:val="single" w:sz="8" w:color="CFF0FC"/>
            </w:tcBorders>
            <w:shd w:val="clear" w:color="auto" w:fill="CFF0FC"/>
          </w:tcPr>
          <w:p>
            <w:pPr>
              <w:spacing w:after="0"/>
              <w:rPr>
                <w:sz w:val="23"/>
                <w:szCs w:val="23"/>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5920" w:type="dxa"/>
            <w:vAlign w:val="bottom"/>
            <w:gridSpan w:val="5"/>
          </w:tcPr>
          <w:p>
            <w:pPr>
              <w:jc w:val="center"/>
              <w:ind w:right="3920"/>
              <w:spacing w:after="0"/>
              <w:rPr>
                <w:sz w:val="20"/>
                <w:szCs w:val="20"/>
                <w:color w:val="auto"/>
              </w:rPr>
            </w:pPr>
            <w:r>
              <w:rPr>
                <w:rFonts w:ascii="Times New Roman" w:cs="Times New Roman" w:eastAsia="Times New Roman" w:hAnsi="Times New Roman"/>
                <w:sz w:val="18"/>
                <w:szCs w:val="18"/>
                <w:color w:val="auto"/>
                <w:w w:val="99"/>
              </w:rPr>
              <w:t>&lt; 3.70:1.00 and &gt; 3.20:1.00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&lt; 3.20:1.00</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8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51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-521970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121"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face value plus accrued and unpaid interest.</w:t>
      </w:r>
    </w:p>
    <w:p>
      <w:pPr>
        <w:spacing w:after="0" w:line="1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left="80"/>
        <w:spacing w:after="0" w:line="257" w:lineRule="auto"/>
        <w:rPr>
          <w:sz w:val="20"/>
          <w:szCs w:val="20"/>
          <w:color w:val="auto"/>
        </w:rPr>
      </w:pPr>
      <w:r>
        <w:rPr>
          <w:rFonts w:ascii="Times New Roman" w:cs="Times New Roman" w:eastAsia="Times New Roman" w:hAnsi="Times New Roman"/>
          <w:sz w:val="18"/>
          <w:szCs w:val="18"/>
          <w:color w:val="auto"/>
        </w:rPr>
        <w:t>The Company entered into a Revolving Credit Agreement in March 2018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In May 2025, pursuant to an amendment thereto, such commitment was increased to $125.0 million. On October 17, 2025, certain of the Company’s direct and indirect wholly owned subsidiaries, including VM Consolidated, entered into the Amended and Restated Revolving Credit Agreement (the “</w:t>
      </w:r>
      <w:r>
        <w:rPr>
          <w:rFonts w:ascii="Times New Roman" w:cs="Times New Roman" w:eastAsia="Times New Roman" w:hAnsi="Times New Roman"/>
          <w:sz w:val="18"/>
          <w:szCs w:val="18"/>
          <w:b w:val="1"/>
          <w:bCs w:val="1"/>
          <w:i w:val="1"/>
          <w:iCs w:val="1"/>
          <w:color w:val="auto"/>
        </w:rPr>
        <w:t>Amended and Restated Revolving Credit Agreement</w:t>
      </w:r>
      <w:r>
        <w:rPr>
          <w:rFonts w:ascii="Times New Roman" w:cs="Times New Roman" w:eastAsia="Times New Roman" w:hAnsi="Times New Roman"/>
          <w:sz w:val="18"/>
          <w:szCs w:val="18"/>
          <w:color w:val="auto"/>
        </w:rPr>
        <w:t>”) to amend and restate the Revolver (the “</w:t>
      </w:r>
      <w:r>
        <w:rPr>
          <w:rFonts w:ascii="Times New Roman" w:cs="Times New Roman" w:eastAsia="Times New Roman" w:hAnsi="Times New Roman"/>
          <w:sz w:val="18"/>
          <w:szCs w:val="18"/>
          <w:b w:val="1"/>
          <w:bCs w:val="1"/>
          <w:i w:val="1"/>
          <w:iCs w:val="1"/>
          <w:color w:val="auto"/>
        </w:rPr>
        <w:t>Amended Revolver</w:t>
      </w:r>
      <w:r>
        <w:rPr>
          <w:rFonts w:ascii="Times New Roman" w:cs="Times New Roman" w:eastAsia="Times New Roman" w:hAnsi="Times New Roman"/>
          <w:sz w:val="18"/>
          <w:szCs w:val="18"/>
          <w:color w:val="auto"/>
        </w:rPr>
        <w:t>”).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spacing w:after="0" w:line="132"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no outstanding borrowings on the Amended Revolver as of September 30, 2026 or December 31, 2025. The availability to borrow was $127.3 million at September 30, 2026, calculated as the Company's borrowing base which consists of certain eligible accounts receivable and inventory balances, less any outstanding borrowings and letters of credit up to the maximum commitment available.</w:t>
      </w:r>
    </w:p>
    <w:p>
      <w:pPr>
        <w:spacing w:after="0" w:line="138"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A commitment fee on the unused portion of the Amended Revolver is payable quarterly at (x) an annual rate of 0.375%, when quarterly average usage was less than 50% of the loan commitments in the prior quarter or (y) an annual rate of 0.250%, when quarterly average usage of the Amended Revolver was greater than or equal to 50% of the loan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in the prior quarter. The Company is also required to pay participation and fronting fees at 1.38% on $4.9 million of outstanding letters of credit as of September 30,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September 30, 2026, the Company was compliant with all debt covenants in its debt agreements.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equipment financing arrangements in the normal course of business, including certain equipment leases and purchases accounted for as financing arrangements. Amounts outstanding under these arrangements are included in "Other debt" in the table above and were not material to the Company’s overall financial position, liquidity, or capital resources as of September 30,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$15.0 million and $16.4 million for the three months ended September 30, 2026 and 2025, respectively, and $45.9 million and $49.6 million for the nine months ended September 30, 2026 and 2025,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effective interest rate on the Company’s outstanding borrowings was 5.8% as of September 30, 2026 and 5.6% as of December 31, 2025.</w:t>
      </w:r>
    </w:p>
    <w:p>
      <w:pPr>
        <w:spacing w:after="0" w:line="158" w:lineRule="exact"/>
        <w:rPr>
          <w:sz w:val="20"/>
          <w:szCs w:val="20"/>
          <w:color w:val="auto"/>
        </w:rPr>
      </w:pPr>
    </w:p>
    <w:p>
      <w:pPr>
        <w:ind w:left="700" w:hanging="53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1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Level 2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spacing w:after="0" w:line="52"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debt, net was calculated based upon available market information. The carrying value and the estimated fair value of debt, net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8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2760" w:type="dxa"/>
            <w:vAlign w:val="bottom"/>
            <w:gridSpan w:val="4"/>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4"/>
                <w:szCs w:val="14"/>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30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3"/>
                <w:szCs w:val="13"/>
                <w:color w:val="auto"/>
              </w:rPr>
            </w:pPr>
          </w:p>
        </w:tc>
        <w:tc>
          <w:tcPr>
            <w:tcW w:w="12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337"/>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5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675,990</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661,459</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680,339</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346,500</w:t>
            </w:r>
          </w:p>
        </w:tc>
        <w:tc>
          <w:tcPr>
            <w:tcW w:w="0" w:type="dxa"/>
            <w:vAlign w:val="bottom"/>
          </w:tcPr>
          <w:p>
            <w:pPr>
              <w:spacing w:after="0"/>
              <w:rPr>
                <w:sz w:val="1"/>
                <w:szCs w:val="1"/>
                <w:color w:val="auto"/>
              </w:rPr>
            </w:pPr>
          </w:p>
        </w:tc>
      </w:tr>
      <w:tr>
        <w:trPr>
          <w:trHeight w:val="290"/>
        </w:trPr>
        <w:tc>
          <w:tcPr>
            <w:tcW w:w="20" w:type="dxa"/>
            <w:vAlign w:val="bottom"/>
            <w:shd w:val="clear" w:color="auto" w:fill="CFF0FC"/>
          </w:tcPr>
          <w:p>
            <w:pPr>
              <w:spacing w:after="0"/>
              <w:rPr>
                <w:sz w:val="24"/>
                <w:szCs w:val="24"/>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w:t>
            </w:r>
            <w:r>
              <w:rPr>
                <w:rFonts w:ascii="Times New Roman" w:cs="Times New Roman" w:eastAsia="Times New Roman" w:hAnsi="Times New Roman"/>
                <w:sz w:val="23"/>
                <w:szCs w:val="23"/>
                <w:color w:val="auto"/>
                <w:vertAlign w:val="superscript"/>
              </w:rPr>
              <w:t>(1)</w:t>
            </w: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shd w:val="clear" w:color="auto" w:fill="CFF0FC"/>
          </w:tcPr>
          <w:p>
            <w:pPr>
              <w:spacing w:after="0"/>
              <w:rPr>
                <w:sz w:val="4"/>
                <w:szCs w:val="4"/>
                <w:color w:val="auto"/>
              </w:rPr>
            </w:pPr>
          </w:p>
        </w:tc>
        <w:tc>
          <w:tcPr>
            <w:tcW w:w="980" w:type="dxa"/>
            <w:vAlign w:val="bottom"/>
            <w:shd w:val="clear" w:color="auto" w:fill="CFF0FC"/>
          </w:tcPr>
          <w:p>
            <w:pPr>
              <w:spacing w:after="0"/>
              <w:rPr>
                <w:sz w:val="4"/>
                <w:szCs w:val="4"/>
                <w:color w:val="auto"/>
              </w:rPr>
            </w:pPr>
          </w:p>
        </w:tc>
        <w:tc>
          <w:tcPr>
            <w:tcW w:w="2500" w:type="dxa"/>
            <w:vAlign w:val="bottom"/>
            <w:shd w:val="clear" w:color="auto" w:fill="CFF0FC"/>
          </w:tcPr>
          <w:p>
            <w:pPr>
              <w:spacing w:after="0"/>
              <w:rPr>
                <w:sz w:val="4"/>
                <w:szCs w:val="4"/>
                <w:color w:val="auto"/>
              </w:rPr>
            </w:pPr>
          </w:p>
        </w:tc>
        <w:tc>
          <w:tcPr>
            <w:tcW w:w="148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118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12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12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122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5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-624840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-624840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-624840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-882015</wp:posOffset>
            </wp:positionV>
            <wp:extent cx="60325"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265430"/>
                    </a:xfrm>
                    <a:prstGeom prst="rect">
                      <a:avLst/>
                    </a:prstGeom>
                    <a:noFill/>
                  </pic:spPr>
                </pic:pic>
              </a:graphicData>
            </a:graphic>
          </wp:anchor>
        </w:drawing>
      </w:r>
    </w:p>
    <w:p>
      <w:pPr>
        <w:spacing w:after="0" w:line="164" w:lineRule="exact"/>
        <w:rPr>
          <w:sz w:val="20"/>
          <w:szCs w:val="20"/>
          <w:color w:val="auto"/>
        </w:rPr>
      </w:pPr>
    </w:p>
    <w:p>
      <w:pPr>
        <w:ind w:left="900" w:hanging="325"/>
        <w:spacing w:after="0" w:line="282" w:lineRule="auto"/>
        <w:tabs>
          <w:tab w:leader="none" w:pos="8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consists of certain equipment financing arrangements entered into in the normal course of business, including certain equipment leases and purchases accounted for as financing arrangements.</w:t>
      </w: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a legal settlement finalized in February 2026, the Company received ordinary shares of a publicly traded company based in Australia. The shares are classified as short-term investments within the prepaid expenses and other current assets line on the condensed consolidated balance sheets and are measured at fair value on a quarterly basis. The fair value of these shares is determined using quoted closing market prices on the Australian Securities Exchange, an active exchange, as of the measurement date. Accordingly, the investment is classified within Level 1 of the fair value hierarchy. The following summarizes the change in fair value of equity securities included in selling,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on the condensed consolidated statements of operations and comprehensive income which consists of adjustments related to the equity securities re-measured to fair value at the end of the reporting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0"/>
        </w:trPr>
        <w:tc>
          <w:tcPr>
            <w:tcW w:w="20" w:type="dxa"/>
            <w:vAlign w:val="bottom"/>
          </w:tcPr>
          <w:p>
            <w:pPr>
              <w:spacing w:after="0"/>
              <w:rPr>
                <w:sz w:val="13"/>
                <w:szCs w:val="13"/>
                <w:color w:val="auto"/>
              </w:rPr>
            </w:pPr>
          </w:p>
        </w:tc>
        <w:tc>
          <w:tcPr>
            <w:tcW w:w="81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3"/>
                <w:szCs w:val="13"/>
                <w:color w:val="auto"/>
              </w:rPr>
            </w:pPr>
          </w:p>
        </w:tc>
        <w:tc>
          <w:tcPr>
            <w:tcW w:w="1360" w:type="dxa"/>
            <w:vAlign w:val="bottom"/>
          </w:tcPr>
          <w:p>
            <w:pPr>
              <w:jc w:val="right"/>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acquired from legal settlement</w:t>
            </w:r>
          </w:p>
        </w:tc>
        <w:tc>
          <w:tcPr>
            <w:tcW w:w="12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equity securities</w:t>
            </w:r>
          </w:p>
        </w:tc>
        <w:tc>
          <w:tcPr>
            <w:tcW w:w="120" w:type="dxa"/>
            <w:vAlign w:val="bottom"/>
            <w:tcBorders>
              <w:bottom w:val="single" w:sz="8" w:color="auto"/>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70"/>
        </w:trPr>
        <w:tc>
          <w:tcPr>
            <w:tcW w:w="20" w:type="dxa"/>
            <w:vAlign w:val="bottom"/>
          </w:tcPr>
          <w:p>
            <w:pPr>
              <w:spacing w:after="0"/>
              <w:rPr>
                <w:sz w:val="23"/>
                <w:szCs w:val="23"/>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$2.1 million and $2.0 million as of September 30, 2026 and December 31, 2025,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nine months ended September 30, 2026 and 2025.</w:t>
      </w:r>
    </w:p>
    <w:p>
      <w:pPr>
        <w:spacing w:after="0" w:line="179" w:lineRule="exact"/>
        <w:rPr>
          <w:sz w:val="20"/>
          <w:szCs w:val="20"/>
          <w:color w:val="auto"/>
        </w:rPr>
      </w:pPr>
    </w:p>
    <w:p>
      <w:pPr>
        <w:ind w:left="700" w:hanging="530"/>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4"/>
                <w:szCs w:val="14"/>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2280" w:type="dxa"/>
            <w:vAlign w:val="bottom"/>
            <w:tcBorders>
              <w:top w:val="single" w:sz="8" w:color="auto"/>
              <w:bottom w:val="single" w:sz="8" w:color="CFF0FC"/>
            </w:tcBorders>
          </w:tcPr>
          <w:p>
            <w:pPr>
              <w:spacing w:after="0"/>
              <w:rPr>
                <w:sz w:val="2"/>
                <w:szCs w:val="2"/>
                <w:color w:val="auto"/>
              </w:rPr>
            </w:pPr>
          </w:p>
        </w:tc>
        <w:tc>
          <w:tcPr>
            <w:tcW w:w="2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r>
      <w:tr>
        <w:trPr>
          <w:trHeight w:val="277"/>
        </w:trPr>
        <w:tc>
          <w:tcPr>
            <w:tcW w:w="20" w:type="dxa"/>
            <w:vAlign w:val="bottom"/>
            <w:shd w:val="clear" w:color="auto" w:fill="CFF0FC"/>
          </w:tcPr>
          <w:p>
            <w:pPr>
              <w:spacing w:after="0"/>
              <w:rPr>
                <w:sz w:val="24"/>
                <w:szCs w:val="24"/>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159,525</w:t>
            </w:r>
          </w:p>
        </w:tc>
      </w:tr>
      <w:tr>
        <w:trPr>
          <w:trHeight w:val="277"/>
        </w:trPr>
        <w:tc>
          <w:tcPr>
            <w:tcW w:w="20" w:type="dxa"/>
            <w:vAlign w:val="bottom"/>
            <w:shd w:val="clear" w:color="auto" w:fill="CFF0FC"/>
          </w:tcPr>
          <w:p>
            <w:pPr>
              <w:spacing w:after="0"/>
              <w:rPr>
                <w:sz w:val="24"/>
                <w:szCs w:val="24"/>
                <w:color w:val="auto"/>
              </w:rPr>
            </w:pPr>
          </w:p>
        </w:tc>
        <w:tc>
          <w:tcPr>
            <w:tcW w:w="5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57"/>
        </w:trPr>
        <w:tc>
          <w:tcPr>
            <w:tcW w:w="20" w:type="dxa"/>
            <w:vAlign w:val="bottom"/>
          </w:tcPr>
          <w:p>
            <w:pPr>
              <w:spacing w:after="0"/>
              <w:rPr>
                <w:sz w:val="22"/>
                <w:szCs w:val="22"/>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161,824</w:t>
            </w:r>
          </w:p>
        </w:tc>
      </w:tr>
      <w:tr>
        <w:trPr>
          <w:trHeight w:val="277"/>
        </w:trPr>
        <w:tc>
          <w:tcPr>
            <w:tcW w:w="20" w:type="dxa"/>
            <w:vAlign w:val="bottom"/>
            <w:shd w:val="clear" w:color="auto" w:fill="CFF0FC"/>
          </w:tcPr>
          <w:p>
            <w:pPr>
              <w:spacing w:after="0"/>
              <w:rPr>
                <w:sz w:val="24"/>
                <w:szCs w:val="24"/>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63"/>
        </w:trPr>
        <w:tc>
          <w:tcPr>
            <w:tcW w:w="2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77"/>
        </w:trPr>
        <w:tc>
          <w:tcPr>
            <w:tcW w:w="20" w:type="dxa"/>
            <w:vAlign w:val="bottom"/>
            <w:shd w:val="clear" w:color="auto" w:fill="CFF0FC"/>
          </w:tcPr>
          <w:p>
            <w:pPr>
              <w:spacing w:after="0"/>
              <w:rPr>
                <w:sz w:val="24"/>
                <w:szCs w:val="24"/>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net income per share:</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7"/>
        </w:trPr>
        <w:tc>
          <w:tcPr>
            <w:tcW w:w="20" w:type="dxa"/>
            <w:vAlign w:val="bottom"/>
            <w:shd w:val="clear" w:color="auto" w:fill="CFF0FC"/>
          </w:tcPr>
          <w:p>
            <w:pPr>
              <w:spacing w:after="0"/>
              <w:rPr>
                <w:sz w:val="24"/>
                <w:szCs w:val="24"/>
                <w:color w:val="auto"/>
              </w:rPr>
            </w:pPr>
          </w:p>
        </w:tc>
        <w:tc>
          <w:tcPr>
            <w:tcW w:w="5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8"/>
        </w:trPr>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5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-33655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-2279650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ind w:left="700" w:hanging="530"/>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evidence regarding the realizability of these deferred tax assets, when measuring the need for a valuation allowance. Significant judgment is required in determining any valuation allowance against deferred tax assets.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26.9% and 27.6% for the three months ended September 30, 2026 and 2025, respectively, and 64.6% and 27.4% for the nine months ended September 30, 2026 and 2025, respectively. The increase in effective tax rate for the nine months ended September 30, 2026, was primarily driven by the goodwill impairment recorded for the nine months ended September 30, 2026, which is not deductible for tax purposes.</w:t>
      </w:r>
    </w:p>
    <w:p>
      <w:pPr>
        <w:spacing w:after="0" w:line="172" w:lineRule="exact"/>
        <w:rPr>
          <w:sz w:val="20"/>
          <w:szCs w:val="20"/>
          <w:color w:val="auto"/>
        </w:rPr>
      </w:pPr>
    </w:p>
    <w:p>
      <w:pPr>
        <w:ind w:left="760" w:hanging="590"/>
        <w:spacing w:after="0"/>
        <w:tabs>
          <w:tab w:leader="none" w:pos="7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authorized a share repurchase program for up to an aggregate amount of $100.0 million of its outstanding shares of Class A common stock, par value $0.0001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over an 18-month period. After the Company repurchased an aggregate 3.5 million shares for approximately $87.3 million in fiscal year 2024, in December 2024, the Board authorized the repurchase of up to an additional $100.0 million of its outstanding shares under the then-existing program, providing the Company with approximately $112.7 million available for repurchases. In December 2024, the Company entered into an accelerated share repurchase agreement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In connection with the settlement, the Company reduced the par value from common stock and $2.4 million from additional paid-in capital calculated using an average share price, with an offset of $2.4 million to accumulated deficit on the condensed consolidated statements of stockholders’ equity. All repurchased shares were subsequently retired. The prior repurchase authorization expired on April 30,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the Board authorized a new share repurchase program for up to an aggregate amount of $100.0 million of the Company’s outstanding shares of Class A Common Stock over an 18-month period. On October 23, 2025, the Board authorized the repurchase of up to an additional $150.0 million of the Company’s outstanding shares of Class A Common Stock under the existing May 2025 program, providing the Company with $250.0 million available for repurchases. During the fourth quarter of fiscal year 2025, the Company paid $133.4 million to repurchase 6,028,853 shares of its Class A Common Stock through open market transactions, which shares it subsequently retired.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paid $50.2 million to repurchase 2,215,800 shares of its Class A Common Stock through open market transactions, which shares it subsequently retired. In addition, the Company recorded approximately $0.5 million within accrued liabilities on the condensed consolidated balance sheets as of September 30, 2026 for direct costs related to the excise tax payable on net share repurchases. During the nine months ended September 30, 2026, the Company made approximately $1.4 million of excise tax payments. In connection with these repurchases, the Company reduced the par value from common stock and $7.8 million from additional paid-in capital calculated using an average share price, and by increasing accumulated deficit for the remaining cost of $42.4 million. As of September 30, 2026, $66.3 million remains available under the Company’s authorized share repurchase program.</w:t>
      </w:r>
    </w:p>
    <w:p>
      <w:pPr>
        <w:spacing w:after="0" w:line="185" w:lineRule="exact"/>
        <w:rPr>
          <w:sz w:val="20"/>
          <w:szCs w:val="20"/>
          <w:color w:val="auto"/>
        </w:rPr>
      </w:pPr>
    </w:p>
    <w:p>
      <w:pPr>
        <w:ind w:left="740" w:hanging="570"/>
        <w:spacing w:after="0"/>
        <w:tabs>
          <w:tab w:leader="none" w:pos="7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r>
      <w:tr>
        <w:trPr>
          <w:trHeight w:val="270"/>
        </w:trPr>
        <w:tc>
          <w:tcPr>
            <w:tcW w:w="20" w:type="dxa"/>
            <w:vAlign w:val="bottom"/>
            <w:tcBorders>
              <w:bottom w:val="single" w:sz="8" w:color="CFF0FC"/>
            </w:tcBorders>
          </w:tcPr>
          <w:p>
            <w:pPr>
              <w:spacing w:after="0"/>
              <w:rPr>
                <w:sz w:val="23"/>
                <w:szCs w:val="23"/>
                <w:color w:val="auto"/>
              </w:rPr>
            </w:pPr>
          </w:p>
        </w:tc>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r>
      <w:tr>
        <w:trPr>
          <w:trHeight w:val="288"/>
        </w:trPr>
        <w:tc>
          <w:tcPr>
            <w:tcW w:w="20" w:type="dxa"/>
            <w:vAlign w:val="bottom"/>
            <w:tcBorders>
              <w:bottom w:val="single" w:sz="8" w:color="CFF0FC"/>
            </w:tcBorders>
            <w:shd w:val="clear" w:color="auto" w:fill="CFF0FC"/>
          </w:tcPr>
          <w:p>
            <w:pPr>
              <w:spacing w:after="0"/>
              <w:rPr>
                <w:sz w:val="24"/>
                <w:szCs w:val="24"/>
                <w:color w:val="auto"/>
              </w:rPr>
            </w:pPr>
          </w:p>
        </w:tc>
        <w:tc>
          <w:tcPr>
            <w:tcW w:w="50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-33655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-213995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-565150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-565150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740" w:hanging="327"/>
        <w:spacing w:after="0" w:line="282" w:lineRule="auto"/>
        <w:tabs>
          <w:tab w:leader="none" w:pos="7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to selling, general and administrative expenses is related to the reversal of unvested share-based compensation as a result of executive leadership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590"/>
        <w:spacing w:after="0"/>
        <w:tabs>
          <w:tab w:leader="none" w:pos="7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TRA liability was $38.7 million of which approximately $5.3 million was the current portion and $33.4 million was the non-current portion, both of which are included in the respective tax receivable agreement liability line items on the condensed consolidated balance sheets. During the nine months ended September 30, 2026, the Company made a payment of $5.0 million related to the 2025 tax year.</w:t>
      </w:r>
    </w:p>
    <w:p>
      <w:pPr>
        <w:spacing w:after="0" w:line="172" w:lineRule="exact"/>
        <w:rPr>
          <w:sz w:val="20"/>
          <w:szCs w:val="20"/>
          <w:color w:val="auto"/>
        </w:rPr>
      </w:pPr>
    </w:p>
    <w:p>
      <w:pPr>
        <w:ind w:left="760" w:hanging="590"/>
        <w:spacing w:after="0"/>
        <w:tabs>
          <w:tab w:leader="none" w:pos="7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issued various letters of credit under contractual arrangements with certain of its domestic and international vendors and customers. Outstanding letters of credit under these arrangements totaled $4.9 million at September 30, 2026. Additionally, the Company had $2.3 million of bank guarantees at September 30, 2026 required to support bids and contracts with certain international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When necessary, the Company accrues estimated amounts related to legal proceedings within accrued liabilities on the condensed consolidated balance sheets. The ultimate cost of litigation or settlement could be materially different than the amount of the current estimates and accruals and could have a material adverse impact on the Company’s consolidated financial position, results of operations, or cash flows.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4, 2026, a putative securities class action was filed in the United States District Court for the District of Arizona, captioned Otucu v. Verra Mobility Co., et al., on behalf of a putative class of investors who purchased the Company's common stock between February 24, 2026 and May 26, 2026. The complaint alleges violations of Sections 10(b) and 20(a) of the Securities Exchange Act of 1934 and seeks an unspecified amount of damages on behalf of investors that purchased or otherwise acquired Company common stock between February 24, 2026 and May 26, 2026. The complaint alleges that defendants materially misled the putative class with respect to the Company’s statements regarding contract renewal negotiations with a Commercial Services customer and guidance with respect to full year 2026. The Company intends to defend this matter vigorously. The Company has not recorded any loss or gain contingencies associated with this matter as it is not probable or reasonably estimable at September 30,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590"/>
        <w:spacing w:after="0"/>
        <w:tabs>
          <w:tab w:leader="none" w:pos="7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other large fleet owners. Government Solutions offers photo enforcement automated safety solutions and services to states, municipalities, counties, school districts, and law enforcement agencies of all sizes. Parking Solutions provides an integrated suite of parking software, transaction processing and hardware solutions to its customers.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operating and reportable segments were determined based on how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does not use discrete asset information to evaluate operating performance at the segment level, and as such, the Company has not reported assets disaggregated by reportable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0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3"/>
                <w:szCs w:val="13"/>
                <w:color w:val="auto"/>
              </w:rPr>
            </w:pPr>
          </w:p>
        </w:tc>
        <w:tc>
          <w:tcPr>
            <w:tcW w:w="1140" w:type="dxa"/>
            <w:vAlign w:val="bottom"/>
          </w:tcPr>
          <w:p>
            <w:pPr>
              <w:jc w:val="right"/>
              <w:ind w:right="491"/>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100,333</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122,463</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239,905</w:t>
            </w:r>
          </w:p>
        </w:tc>
      </w:tr>
      <w:tr>
        <w:trPr>
          <w:trHeight w:val="264"/>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w:t>
            </w: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500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100,333</w:t>
            </w:r>
          </w:p>
        </w:tc>
        <w:tc>
          <w:tcPr>
            <w:tcW w:w="80" w:type="dxa"/>
            <w:vAlign w:val="bottom"/>
            <w:tcBorders>
              <w:top w:val="single" w:sz="8" w:color="CFF0FC"/>
            </w:tcBorders>
            <w:shd w:val="clear" w:color="auto" w:fill="CFF0FC"/>
          </w:tcPr>
          <w:p>
            <w:pPr>
              <w:spacing w:after="0"/>
              <w:rPr>
                <w:sz w:val="23"/>
                <w:szCs w:val="23"/>
                <w:color w:val="auto"/>
              </w:rPr>
            </w:pP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136,845</w:t>
            </w:r>
          </w:p>
        </w:tc>
        <w:tc>
          <w:tcPr>
            <w:tcW w:w="8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spacing w:after="0"/>
              <w:rPr>
                <w:sz w:val="23"/>
                <w:szCs w:val="23"/>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00" w:type="dxa"/>
            <w:vAlign w:val="bottom"/>
            <w:tcBorders>
              <w:top w:val="single" w:sz="8" w:color="CFF0FC"/>
            </w:tcBorders>
            <w:shd w:val="clear" w:color="auto" w:fill="CFF0FC"/>
          </w:tcPr>
          <w:p>
            <w:pPr>
              <w:spacing w:after="0"/>
              <w:rPr>
                <w:sz w:val="23"/>
                <w:szCs w:val="23"/>
                <w:color w:val="auto"/>
              </w:rPr>
            </w:pPr>
          </w:p>
        </w:tc>
        <w:tc>
          <w:tcPr>
            <w:tcW w:w="340" w:type="dxa"/>
            <w:vAlign w:val="bottom"/>
            <w:tcBorders>
              <w:top w:val="single" w:sz="8" w:color="auto"/>
            </w:tcBorders>
            <w:shd w:val="clear" w:color="auto" w:fill="CFF0FC"/>
          </w:tcPr>
          <w:p>
            <w:pPr>
              <w:spacing w:after="0"/>
              <w:rPr>
                <w:sz w:val="23"/>
                <w:szCs w:val="23"/>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258,875</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17,638</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88,882</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37,563</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61,328</w:t>
            </w:r>
          </w:p>
        </w:tc>
        <w:tc>
          <w:tcPr>
            <w:tcW w:w="8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103,936</w:t>
            </w: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40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15,027</w:t>
            </w:r>
          </w:p>
        </w:tc>
      </w:tr>
      <w:tr>
        <w:trPr>
          <w:trHeight w:val="270"/>
        </w:trPr>
        <w:tc>
          <w:tcPr>
            <w:tcW w:w="20" w:type="dxa"/>
            <w:vAlign w:val="bottom"/>
            <w:tcBorders>
              <w:bottom w:val="single" w:sz="8" w:color="CFF0FC"/>
            </w:tcBorders>
          </w:tcPr>
          <w:p>
            <w:pPr>
              <w:spacing w:after="0"/>
              <w:rPr>
                <w:sz w:val="23"/>
                <w:szCs w:val="23"/>
                <w:color w:val="auto"/>
              </w:rPr>
            </w:pPr>
          </w:p>
        </w:tc>
        <w:tc>
          <w:tcPr>
            <w:tcW w:w="5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33,632</w:t>
            </w:r>
          </w:p>
        </w:tc>
      </w:tr>
      <w:tr>
        <w:trPr>
          <w:trHeight w:val="282"/>
        </w:trPr>
        <w:tc>
          <w:tcPr>
            <w:tcW w:w="20" w:type="dxa"/>
            <w:vAlign w:val="bottom"/>
            <w:tcBorders>
              <w:bottom w:val="single" w:sz="8" w:color="CFF0FC"/>
            </w:tcBorders>
            <w:shd w:val="clear" w:color="auto" w:fill="CFF0FC"/>
          </w:tcPr>
          <w:p>
            <w:pPr>
              <w:spacing w:after="0"/>
              <w:rPr>
                <w:sz w:val="24"/>
                <w:szCs w:val="24"/>
                <w:color w:val="auto"/>
              </w:rPr>
            </w:pPr>
          </w:p>
        </w:tc>
        <w:tc>
          <w:tcPr>
            <w:tcW w:w="50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55,277</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-565150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-1979295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-2331085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820" w:hanging="326"/>
        <w:spacing w:after="0" w:line="282"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consists of depreciation and amortization expense, stock-based compensation, and other costs to reconcile to total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0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3"/>
                <w:szCs w:val="13"/>
                <w:color w:val="auto"/>
              </w:rPr>
            </w:pPr>
          </w:p>
        </w:tc>
        <w:tc>
          <w:tcPr>
            <w:tcW w:w="1140" w:type="dxa"/>
            <w:vAlign w:val="bottom"/>
          </w:tcPr>
          <w:p>
            <w:pPr>
              <w:jc w:val="right"/>
              <w:ind w:right="491"/>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117,296</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500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117,296</w:t>
            </w:r>
          </w:p>
        </w:tc>
        <w:tc>
          <w:tcPr>
            <w:tcW w:w="80" w:type="dxa"/>
            <w:vAlign w:val="bottom"/>
            <w:tcBorders>
              <w:top w:val="single" w:sz="8" w:color="CFF0FC"/>
            </w:tcBorders>
            <w:shd w:val="clear" w:color="auto" w:fill="CFF0FC"/>
          </w:tcPr>
          <w:p>
            <w:pPr>
              <w:spacing w:after="0"/>
              <w:rPr>
                <w:sz w:val="23"/>
                <w:szCs w:val="23"/>
                <w:color w:val="auto"/>
              </w:rPr>
            </w:pP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122,560</w:t>
            </w:r>
          </w:p>
        </w:tc>
        <w:tc>
          <w:tcPr>
            <w:tcW w:w="8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spacing w:after="0"/>
              <w:rPr>
                <w:sz w:val="23"/>
                <w:szCs w:val="23"/>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tcBorders>
              <w:top w:val="single" w:sz="8" w:color="CFF0FC"/>
            </w:tcBorders>
            <w:shd w:val="clear" w:color="auto" w:fill="CFF0FC"/>
          </w:tcPr>
          <w:p>
            <w:pPr>
              <w:spacing w:after="0"/>
              <w:rPr>
                <w:sz w:val="23"/>
                <w:szCs w:val="23"/>
                <w:color w:val="auto"/>
              </w:rPr>
            </w:pPr>
          </w:p>
        </w:tc>
        <w:tc>
          <w:tcPr>
            <w:tcW w:w="340" w:type="dxa"/>
            <w:vAlign w:val="bottom"/>
            <w:tcBorders>
              <w:top w:val="single" w:sz="8" w:color="auto"/>
            </w:tcBorders>
            <w:shd w:val="clear" w:color="auto" w:fill="CFF0FC"/>
          </w:tcPr>
          <w:p>
            <w:pPr>
              <w:spacing w:after="0"/>
              <w:rPr>
                <w:sz w:val="23"/>
                <w:szCs w:val="23"/>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261,938</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12,826</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86,584</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45,505</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78,284</w:t>
            </w:r>
          </w:p>
        </w:tc>
        <w:tc>
          <w:tcPr>
            <w:tcW w:w="8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113,345</w:t>
            </w: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40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64,665</w:t>
            </w: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820" w:hanging="326"/>
        <w:spacing w:after="0" w:line="282"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consists of depreciation and amortization expense, stock-based compensation, and other costs to reconcile to total income before income taxes.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0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3"/>
                <w:szCs w:val="13"/>
                <w:color w:val="auto"/>
              </w:rPr>
            </w:pPr>
          </w:p>
        </w:tc>
        <w:tc>
          <w:tcPr>
            <w:tcW w:w="1140" w:type="dxa"/>
            <w:vAlign w:val="bottom"/>
          </w:tcPr>
          <w:p>
            <w:pPr>
              <w:jc w:val="right"/>
              <w:ind w:right="491"/>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313,201</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335,586</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700,007</w:t>
            </w:r>
          </w:p>
        </w:tc>
      </w:tr>
      <w:tr>
        <w:trPr>
          <w:trHeight w:val="264"/>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46,027</w:t>
            </w: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500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313,201</w:t>
            </w:r>
          </w:p>
        </w:tc>
        <w:tc>
          <w:tcPr>
            <w:tcW w:w="80" w:type="dxa"/>
            <w:vAlign w:val="bottom"/>
            <w:tcBorders>
              <w:top w:val="single" w:sz="8" w:color="CFF0FC"/>
            </w:tcBorders>
            <w:shd w:val="clear" w:color="auto" w:fill="CFF0FC"/>
          </w:tcPr>
          <w:p>
            <w:pPr>
              <w:spacing w:after="0"/>
              <w:rPr>
                <w:sz w:val="23"/>
                <w:szCs w:val="23"/>
                <w:color w:val="auto"/>
              </w:rPr>
            </w:pP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370,689</w:t>
            </w:r>
          </w:p>
        </w:tc>
        <w:tc>
          <w:tcPr>
            <w:tcW w:w="8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spacing w:after="0"/>
              <w:rPr>
                <w:sz w:val="23"/>
                <w:szCs w:val="23"/>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62,144</w:t>
            </w:r>
          </w:p>
        </w:tc>
        <w:tc>
          <w:tcPr>
            <w:tcW w:w="100" w:type="dxa"/>
            <w:vAlign w:val="bottom"/>
            <w:tcBorders>
              <w:top w:val="single" w:sz="8" w:color="CFF0FC"/>
            </w:tcBorders>
            <w:shd w:val="clear" w:color="auto" w:fill="CFF0FC"/>
          </w:tcPr>
          <w:p>
            <w:pPr>
              <w:spacing w:after="0"/>
              <w:rPr>
                <w:sz w:val="23"/>
                <w:szCs w:val="23"/>
                <w:color w:val="auto"/>
              </w:rPr>
            </w:pPr>
          </w:p>
        </w:tc>
        <w:tc>
          <w:tcPr>
            <w:tcW w:w="340" w:type="dxa"/>
            <w:vAlign w:val="bottom"/>
            <w:tcBorders>
              <w:top w:val="single" w:sz="8" w:color="auto"/>
            </w:tcBorders>
            <w:shd w:val="clear" w:color="auto" w:fill="CFF0FC"/>
          </w:tcPr>
          <w:p>
            <w:pPr>
              <w:spacing w:after="0"/>
              <w:rPr>
                <w:sz w:val="23"/>
                <w:szCs w:val="23"/>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746,034</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30,001</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175,461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262,336</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50,244</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120,106</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(14,902)</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200,337</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300,615</w:t>
            </w: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40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45,920</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64,037</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40,354</w:t>
            </w:r>
          </w:p>
        </w:tc>
      </w:tr>
      <w:tr>
        <w:trPr>
          <w:trHeight w:val="270"/>
        </w:trPr>
        <w:tc>
          <w:tcPr>
            <w:tcW w:w="20" w:type="dxa"/>
            <w:vAlign w:val="bottom"/>
            <w:tcBorders>
              <w:bottom w:val="single" w:sz="8" w:color="CFF0FC"/>
            </w:tcBorders>
          </w:tcPr>
          <w:p>
            <w:pPr>
              <w:spacing w:after="0"/>
              <w:rPr>
                <w:sz w:val="23"/>
                <w:szCs w:val="23"/>
                <w:color w:val="auto"/>
              </w:rPr>
            </w:pPr>
          </w:p>
        </w:tc>
        <w:tc>
          <w:tcPr>
            <w:tcW w:w="5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96,765</w:t>
            </w:r>
          </w:p>
        </w:tc>
      </w:tr>
      <w:tr>
        <w:trPr>
          <w:trHeight w:val="282"/>
        </w:trPr>
        <w:tc>
          <w:tcPr>
            <w:tcW w:w="20" w:type="dxa"/>
            <w:vAlign w:val="bottom"/>
            <w:tcBorders>
              <w:bottom w:val="single" w:sz="8" w:color="CFF0FC"/>
            </w:tcBorders>
            <w:shd w:val="clear" w:color="auto" w:fill="CFF0FC"/>
          </w:tcPr>
          <w:p>
            <w:pPr>
              <w:spacing w:after="0"/>
              <w:rPr>
                <w:sz w:val="24"/>
                <w:szCs w:val="24"/>
                <w:color w:val="auto"/>
              </w:rPr>
            </w:pPr>
          </w:p>
        </w:tc>
        <w:tc>
          <w:tcPr>
            <w:tcW w:w="50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53,539</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-908050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-2322195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-2673985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left="820" w:hanging="326"/>
        <w:spacing w:after="0" w:line="282" w:lineRule="auto"/>
        <w:tabs>
          <w:tab w:leader="none" w:pos="8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consists of depreciation and amortization expense, stock-based compensation, and other costs to reconcile to total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0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3"/>
                <w:szCs w:val="13"/>
                <w:color w:val="auto"/>
              </w:rPr>
            </w:pPr>
          </w:p>
        </w:tc>
        <w:tc>
          <w:tcPr>
            <w:tcW w:w="1140" w:type="dxa"/>
            <w:vAlign w:val="bottom"/>
          </w:tcPr>
          <w:p>
            <w:pPr>
              <w:jc w:val="right"/>
              <w:ind w:right="491"/>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300,246</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678,598</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w:t>
            </w: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500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80" w:type="dxa"/>
            <w:vAlign w:val="bottom"/>
            <w:tcBorders>
              <w:top w:val="single" w:sz="8" w:color="CFF0FC"/>
            </w:tcBorders>
            <w:shd w:val="clear" w:color="auto" w:fill="CFF0FC"/>
          </w:tcPr>
          <w:p>
            <w:pPr>
              <w:spacing w:after="0"/>
              <w:rPr>
                <w:sz w:val="23"/>
                <w:szCs w:val="23"/>
                <w:color w:val="auto"/>
              </w:rPr>
            </w:pPr>
          </w:p>
        </w:tc>
        <w:tc>
          <w:tcPr>
            <w:tcW w:w="24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331,482</w:t>
            </w:r>
          </w:p>
        </w:tc>
        <w:tc>
          <w:tcPr>
            <w:tcW w:w="8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spacing w:after="0"/>
              <w:rPr>
                <w:sz w:val="23"/>
                <w:szCs w:val="23"/>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Borders>
              <w:top w:val="single" w:sz="8" w:color="CFF0FC"/>
            </w:tcBorders>
            <w:shd w:val="clear" w:color="auto" w:fill="CFF0FC"/>
          </w:tcPr>
          <w:p>
            <w:pPr>
              <w:spacing w:after="0"/>
              <w:rPr>
                <w:sz w:val="23"/>
                <w:szCs w:val="23"/>
                <w:color w:val="auto"/>
              </w:rPr>
            </w:pPr>
          </w:p>
        </w:tc>
        <w:tc>
          <w:tcPr>
            <w:tcW w:w="340" w:type="dxa"/>
            <w:vAlign w:val="bottom"/>
            <w:tcBorders>
              <w:top w:val="single" w:sz="8" w:color="auto"/>
            </w:tcBorders>
            <w:shd w:val="clear" w:color="auto" w:fill="CFF0FC"/>
          </w:tcPr>
          <w:p>
            <w:pPr>
              <w:spacing w:after="0"/>
              <w:rPr>
                <w:sz w:val="23"/>
                <w:szCs w:val="23"/>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721,217</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29,804</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239,039</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134,631</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(16,393)</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213,423</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314,106</w:t>
            </w: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40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49,629</w:t>
            </w:r>
          </w:p>
        </w:tc>
      </w:tr>
      <w:tr>
        <w:trPr>
          <w:trHeight w:val="263"/>
        </w:trPr>
        <w:tc>
          <w:tcPr>
            <w:tcW w:w="20" w:type="dxa"/>
            <w:vAlign w:val="bottom"/>
          </w:tcPr>
          <w:p>
            <w:pPr>
              <w:spacing w:after="0"/>
              <w:rPr>
                <w:sz w:val="22"/>
                <w:szCs w:val="2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7"/>
        </w:trPr>
        <w:tc>
          <w:tcPr>
            <w:tcW w:w="20" w:type="dxa"/>
            <w:vAlign w:val="bottom"/>
            <w:shd w:val="clear" w:color="auto" w:fill="CFF0FC"/>
          </w:tcPr>
          <w:p>
            <w:pPr>
              <w:spacing w:after="0"/>
              <w:rPr>
                <w:sz w:val="24"/>
                <w:szCs w:val="24"/>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102,308</w:t>
            </w:r>
          </w:p>
        </w:tc>
      </w:tr>
      <w:tr>
        <w:trPr>
          <w:trHeight w:val="257"/>
        </w:trPr>
        <w:tc>
          <w:tcPr>
            <w:tcW w:w="20" w:type="dxa"/>
            <w:vAlign w:val="bottom"/>
          </w:tcPr>
          <w:p>
            <w:pPr>
              <w:spacing w:after="0"/>
              <w:rPr>
                <w:sz w:val="22"/>
                <w:szCs w:val="22"/>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162,100</w:t>
            </w: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900" w:hanging="326"/>
        <w:spacing w:after="0" w:line="282" w:lineRule="auto"/>
        <w:tabs>
          <w:tab w:leader="none" w:pos="8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consists of depreciation and amortization expense, stock-based compensation, and other costs to reconcile to total income before income taxes.</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The Company provides information on credit loss expense by reportable segment,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details.</w:t>
      </w:r>
    </w:p>
    <w:p>
      <w:pPr>
        <w:spacing w:after="0" w:line="173"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United Kingdom, Canada, and in various other countries in Europe and Asia. The following table details the revenues from international operations for the respective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r>
      <w:tr>
        <w:trPr>
          <w:trHeight w:val="263"/>
        </w:trPr>
        <w:tc>
          <w:tcPr>
            <w:tcW w:w="2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22,485</w:t>
            </w:r>
          </w:p>
        </w:tc>
      </w:tr>
      <w:tr>
        <w:trPr>
          <w:trHeight w:val="277"/>
        </w:trPr>
        <w:tc>
          <w:tcPr>
            <w:tcW w:w="20" w:type="dxa"/>
            <w:vAlign w:val="bottom"/>
            <w:shd w:val="clear" w:color="auto" w:fill="CFF0FC"/>
          </w:tcPr>
          <w:p>
            <w:pPr>
              <w:spacing w:after="0"/>
              <w:rPr>
                <w:sz w:val="24"/>
                <w:szCs w:val="24"/>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23,232</w:t>
            </w:r>
          </w:p>
        </w:tc>
      </w:tr>
      <w:tr>
        <w:trPr>
          <w:trHeight w:val="263"/>
        </w:trPr>
        <w:tc>
          <w:tcPr>
            <w:tcW w:w="20" w:type="dxa"/>
            <w:vAlign w:val="bottom"/>
            <w:tcBorders>
              <w:bottom w:val="single" w:sz="8" w:color="CFF0FC"/>
            </w:tcBorders>
          </w:tcPr>
          <w:p>
            <w:pPr>
              <w:spacing w:after="0"/>
              <w:rPr>
                <w:sz w:val="22"/>
                <w:szCs w:val="22"/>
                <w:color w:val="auto"/>
              </w:rPr>
            </w:pPr>
          </w:p>
        </w:tc>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50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81,460</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100,308</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-33655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-33655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-33655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-213995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-213995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-213995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-908050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-908050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-908050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3" w:lineRule="exact"/>
        <w:rPr>
          <w:sz w:val="20"/>
          <w:szCs w:val="20"/>
          <w:color w:val="auto"/>
        </w:rPr>
      </w:pPr>
    </w:p>
    <w:p>
      <w:pPr>
        <w:ind w:left="840" w:hanging="590"/>
        <w:spacing w:after="0"/>
        <w:tabs>
          <w:tab w:leader="none" w:pos="8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one of the Company’s significant Commercial Services customers significantly reduced its fleet volume; in response, on October 2, 2026, the Company exercised its option to terminate the contract with such customer, effective January 30, 2027.</w:t>
      </w:r>
    </w:p>
    <w:p>
      <w:pPr>
        <w:spacing w:after="0" w:line="104" w:lineRule="exact"/>
        <w:rPr>
          <w:sz w:val="20"/>
          <w:szCs w:val="20"/>
          <w:color w:val="auto"/>
        </w:rPr>
      </w:pPr>
    </w:p>
    <w:p>
      <w:pPr>
        <w:jc w:val="both"/>
        <w:ind w:left="80"/>
        <w:spacing w:after="0" w:line="262" w:lineRule="auto"/>
        <w:rPr>
          <w:sz w:val="20"/>
          <w:szCs w:val="20"/>
          <w:color w:val="auto"/>
        </w:rPr>
      </w:pPr>
      <w:r>
        <w:rPr>
          <w:rFonts w:ascii="Times New Roman" w:cs="Times New Roman" w:eastAsia="Times New Roman" w:hAnsi="Times New Roman"/>
          <w:sz w:val="18"/>
          <w:szCs w:val="18"/>
          <w:color w:val="auto"/>
        </w:rPr>
        <w:t>On October 8, 2026, Craig Conti notified the Company of his resignation as Chief Financial Officer (“</w:t>
      </w:r>
      <w:r>
        <w:rPr>
          <w:rFonts w:ascii="Times New Roman" w:cs="Times New Roman" w:eastAsia="Times New Roman" w:hAnsi="Times New Roman"/>
          <w:sz w:val="18"/>
          <w:szCs w:val="18"/>
          <w:b w:val="1"/>
          <w:bCs w:val="1"/>
          <w:i w:val="1"/>
          <w:iCs w:val="1"/>
          <w:color w:val="auto"/>
        </w:rPr>
        <w:t>CFO</w:t>
      </w:r>
      <w:r>
        <w:rPr>
          <w:rFonts w:ascii="Times New Roman" w:cs="Times New Roman" w:eastAsia="Times New Roman" w:hAnsi="Times New Roman"/>
          <w:sz w:val="18"/>
          <w:szCs w:val="18"/>
          <w:color w:val="auto"/>
        </w:rPr>
        <w:t>”), effective November 4, 2026. Mr. Conti’s resignation was not related to the Company’s financial or operating results or to any disagreements with the Company regarding its financial, operational, accounting or reporting policies or practices. The Board has retained an executive search firm to conduct a search for a permanent CFO. On October 29, 2026, the Board appointed Matthew Kvarda as Interim CFO, effective November 5,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Annual Report, and our financial statements and the related notes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RACs, Direct Fleets, and FMCs,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212" w:lineRule="exact"/>
        <w:rPr>
          <w:sz w:val="20"/>
          <w:szCs w:val="20"/>
          <w:color w:val="auto"/>
        </w:rPr>
      </w:pPr>
    </w:p>
    <w:p>
      <w:pPr>
        <w:ind w:left="900" w:hanging="406"/>
        <w:spacing w:after="0" w:line="234" w:lineRule="auto"/>
        <w:tabs>
          <w:tab w:leader="none" w:pos="89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and FMCs in North America. In Europe, we provide tolling and violations processing services.</w:t>
      </w:r>
    </w:p>
    <w:p>
      <w:pPr>
        <w:spacing w:after="0" w:line="132" w:lineRule="exact"/>
        <w:rPr>
          <w:rFonts w:ascii="Times New Roman" w:cs="Times New Roman" w:eastAsia="Times New Roman" w:hAnsi="Times New Roman"/>
          <w:sz w:val="22"/>
          <w:szCs w:val="22"/>
          <w:color w:val="auto"/>
        </w:rPr>
      </w:pPr>
    </w:p>
    <w:p>
      <w:pPr>
        <w:jc w:val="both"/>
        <w:ind w:left="900" w:hanging="406"/>
        <w:spacing w:after="0" w:line="243" w:lineRule="auto"/>
        <w:tabs>
          <w:tab w:leader="none" w:pos="89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Government Solutions segment offers photo enforcement automated safety solutions and services to states, municipalities, counties, school districts, and law enforcement agencies of all sizes, primarily in the United States, Canada, and Australia. We provide complete, end-to-end speed, red-light, school bus stop arm, and city bus lane enforcement solutions. Our international operations primarily involve the sale of traffic enforcement products and recurring maintenance services related to the equipment and software.</w:t>
      </w:r>
    </w:p>
    <w:p>
      <w:pPr>
        <w:spacing w:after="0" w:line="127" w:lineRule="exact"/>
        <w:rPr>
          <w:rFonts w:ascii="Times New Roman" w:cs="Times New Roman" w:eastAsia="Times New Roman" w:hAnsi="Times New Roman"/>
          <w:sz w:val="22"/>
          <w:szCs w:val="22"/>
          <w:color w:val="auto"/>
        </w:rPr>
      </w:pPr>
    </w:p>
    <w:p>
      <w:pPr>
        <w:ind w:left="900" w:right="20" w:hanging="406"/>
        <w:spacing w:after="0" w:line="244" w:lineRule="auto"/>
        <w:tabs>
          <w:tab w:leader="none" w:pos="89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commercial parking operators, and health care facilities in the United States and Canada.</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executive leadership and organizational realignment described under “Recent Events”, we are evaluating the effect of changes to our organizational structure and internal management reporting on the identification of our operating and reportable segments. We continue to report three operating and reportable segments for the periods presented. Depending on how the organizational and internal management reporting changes affect the financial information regularly reviewed by our chief operating decision maker in assessing performance and allocating resources, the evaluation could result in a change to our segment reporting in a future period, including reporting as a single operating and reportable segment. Any such change would be reflected beginning in the period in which the change becomes effective, with prior-period segment information recast as required.</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long-term contracts and a reoccurring service revenue model. We continue to execute our strategy to grow revenue organically year-over-year and focus on initiatives that support our long-term strategy. During the periods presented, we:</w:t>
      </w:r>
    </w:p>
    <w:p>
      <w:pPr>
        <w:spacing w:after="0" w:line="148" w:lineRule="exact"/>
        <w:rPr>
          <w:sz w:val="20"/>
          <w:szCs w:val="20"/>
          <w:color w:val="auto"/>
        </w:rPr>
      </w:pPr>
    </w:p>
    <w:p>
      <w:pPr>
        <w:ind w:left="900" w:hanging="406"/>
        <w:spacing w:after="0" w:line="234" w:lineRule="auto"/>
        <w:tabs>
          <w:tab w:leader="none" w:pos="89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total revenue by $24.8 million, or 3.4%, from $721.2 million in the nine months ended September 30, 2025 to $746.0 million in the same period in 2026. The increase was mainly due to expansion in speed, bus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lane, red light, school bus and other services and installation revenue from the NYCDOT program in the Government Solutions segment.</w:t>
      </w:r>
    </w:p>
    <w:p>
      <w:pPr>
        <w:spacing w:after="0" w:line="158" w:lineRule="exact"/>
        <w:rPr>
          <w:sz w:val="20"/>
          <w:szCs w:val="20"/>
          <w:color w:val="auto"/>
        </w:rPr>
      </w:pPr>
    </w:p>
    <w:p>
      <w:pPr>
        <w:ind w:left="900" w:hanging="406"/>
        <w:spacing w:after="0" w:line="234" w:lineRule="auto"/>
        <w:tabs>
          <w:tab w:leader="none" w:pos="89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Generated cash flows from operating activities of $211.8 million and $215.8 million for the nine months ended September 30, 2026 and 2025, respectively. Our cash on hand was $137.0 million as of September 30,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Executive Leadership and Organizational Realignment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 2026, we announced that David Roberts had departed as our President and Chief Executive Officer and as a member of the Board. The Board appointed Jon Keyser, previously our Chief Transformation Officer and Executive Vice President and Chief Legal Officer, as Interim President and Chief Executive Officer. On September 30, 2026, we announced that Jon Newhard was appointed by the Board as President and Chief Executive Officer effective November 1, 2026. On October 2, 2026, we entered into a Separation, Transition and Release Agreement (the "Separation Agreement") with Mr. Keyser. Under the Separation Agreement, Mr. Keyser’s last day of work as our Interim President and Chief Executive Officer will be October 31, 2026, he will resign from all officer and director positions with us and our subsidiaries and affiliates effective November 1, 2026, and he will continue as a full-time employee in the role of Special Advisor through December 31, 2026 to support the Company and the Chief Executive Officer leadership transition.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15, 2026, we announced that Craig Conti will resign as our Executive Vice President and Chief Financial Officer, effective November 4, 2026, to pursue another opportunity in a different industry. Mr. Conti’s decision was not related to our financial or operating results or to any disagreement with us regarding our financial, operational, accounting or reporting policies or practices. The Board has retained an executive search firm to conduct a comprehensive search for a permanent Chief Financial Officer. On October 29, 2026, the Board appointed Matthew Kvarda, a Managing Director with Alvarez &amp; Marsal North America, LLC (“</w:t>
      </w:r>
      <w:r>
        <w:rPr>
          <w:rFonts w:ascii="Times New Roman" w:cs="Times New Roman" w:eastAsia="Times New Roman" w:hAnsi="Times New Roman"/>
          <w:sz w:val="18"/>
          <w:szCs w:val="18"/>
          <w:b w:val="1"/>
          <w:bCs w:val="1"/>
          <w:i w:val="1"/>
          <w:iCs w:val="1"/>
          <w:color w:val="auto"/>
        </w:rPr>
        <w:t>A&amp;M</w:t>
      </w:r>
      <w:r>
        <w:rPr>
          <w:rFonts w:ascii="Times New Roman" w:cs="Times New Roman" w:eastAsia="Times New Roman" w:hAnsi="Times New Roman"/>
          <w:sz w:val="18"/>
          <w:szCs w:val="18"/>
          <w:color w:val="auto"/>
        </w:rPr>
        <w:t>”), as Interim Chief Financial Officer and principal financial officer, effective November 5, 2026, to serve in such role until a permanent Chief Financial Officer is appointed. Mr. Kvarda’s services will be provided pursuant to an engagement letter between the Company and A&amp;M.</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17, 2026, we announced organizational changes intended to accelerate our transformation initiatives, strengthen customer focus and create a more agile and efficient operating model. These changes build upon a hybrid operating model that centralizes key functions, including Human Resources, Finance, Legal, Government Relations, Engineering and Product Management. Stacey Moser was appointed Chief Customer Officer with responsibility for sales, account management and marketing across our Commercial Services and Government Solutions businesses. We are evaluating the effect of these organizational and internal management reporting changes on our operating and reportable segments. See “Our Segments” above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Services Customer Contracts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2026, one of our three significant Commercial Services customers issued a termination notice with respect to its contract with us. The customer subsequently withdrew its termination notice in July 2026 and entered into a seven-year contract extension on terms that were materially less favorable to us as compared to the prior agreement, including an option for the customer to modulate its fleet volume. During the third quarter of 2026, the customer significantly reduced its fleet volume under the contract and on October 2, 2026, we exercised our option to terminate the contract, effective January 30, 2027. We may be unable to replace the revenue that was expected under this contract on a timely basis or at all. A second significant Commercial Services customer entered into a five-year contract extension, also on terms materially less favorable to us than those of the prior agreement and with fleet volume modulation rights that are subject to terms and conditions set forth in the agreement.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contract with the third significant Commercial Services customer is approaching renewal, and we are following the customer's procurement process. We may not be successful in retaining the contract or may retain it only on terms less favorable to us than the current agreement. If we are not successful in retaining the third customer contract or if any renewal is on less favorable terms than the current agreement and/or if either of the remaining contracts is terminated, this would have a material adverse effect on our business, financial condition, and results of operations. See Part II, Item 1A, “Risk Factors”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Impairment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$64.0 million impairment to goodwill in our Parking Solutions segment during the nine months ended September 30, 2026, which is presented in a separate line item on the condensed consolidated statements of operations. This was in connection with our 2026 assessment of goodwill impairment where the Parking Solutions reporting unit's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carrying value exceeded the estimated fair value. As part of this assessment, we determined that the carrying value of certain intangibles within the Parking Solutions segment were not recoverable and recorded a $40.4 million impairment to intangibles in our Parking Solutions segment during the nine months ended September 30, 2026, which is presented in a separate line item on the condensed consolidated statements of operations. Refer to Note 4,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Intangible Assets</w:t>
      </w:r>
      <w:r>
        <w:rPr>
          <w:rFonts w:ascii="Times New Roman" w:cs="Times New Roman" w:eastAsia="Times New Roman" w:hAnsi="Times New Roman"/>
          <w:sz w:val="18"/>
          <w:szCs w:val="18"/>
          <w:color w:val="auto"/>
        </w:rPr>
        <w:t>, in Part I, Item 1,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depends on a number of factors that present opportunities for us but also pose risks and challenges, including those discussed below and in Part I, Item 1A. “Risk Factors” of our Annual Report and in Part II, Item 1A. “Risk Factors” of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or regulation regarding the adoption, expansion, or prohibition of Automatic License Plate Recognition, automated enforcement and traffic safety technology by local, state, or national governments, higher interest rates and the impact of government regulations and actions, including tariffs, trade protection measures, military conflicts or a government shutdown. We continue to monitor the potential favorable or unfavorable impacts of these and other factors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Travel Demand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epidemic diseases, or a government shutdown.</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monitor the U.S. Transportation and Security Administration (the “</w:t>
      </w:r>
      <w:r>
        <w:rPr>
          <w:rFonts w:ascii="Times New Roman" w:cs="Times New Roman" w:eastAsia="Times New Roman" w:hAnsi="Times New Roman"/>
          <w:sz w:val="18"/>
          <w:szCs w:val="18"/>
          <w:b w:val="1"/>
          <w:bCs w:val="1"/>
          <w:i w:val="1"/>
          <w:iCs w:val="1"/>
          <w:color w:val="auto"/>
        </w:rPr>
        <w:t>TSA</w:t>
      </w:r>
      <w:r>
        <w:rPr>
          <w:rFonts w:ascii="Times New Roman" w:cs="Times New Roman" w:eastAsia="Times New Roman" w:hAnsi="Times New Roman"/>
          <w:sz w:val="18"/>
          <w:szCs w:val="18"/>
          <w:color w:val="auto"/>
        </w:rPr>
        <w:t>”) passenger volume (“</w:t>
      </w:r>
      <w:r>
        <w:rPr>
          <w:rFonts w:ascii="Times New Roman" w:cs="Times New Roman" w:eastAsia="Times New Roman" w:hAnsi="Times New Roman"/>
          <w:sz w:val="18"/>
          <w:szCs w:val="18"/>
          <w:b w:val="1"/>
          <w:bCs w:val="1"/>
          <w:i w:val="1"/>
          <w:iCs w:val="1"/>
          <w:color w:val="auto"/>
        </w:rPr>
        <w:t>TSA Passenger Volume</w:t>
      </w:r>
      <w:r>
        <w:rPr>
          <w:rFonts w:ascii="Times New Roman" w:cs="Times New Roman" w:eastAsia="Times New Roman" w:hAnsi="Times New Roman"/>
          <w:sz w:val="18"/>
          <w:szCs w:val="18"/>
          <w:color w:val="auto"/>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 the third quarter of 2026 was approximately 3% less than TSA Passenger Volume for the same period in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Tolling Penetration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Services segment, which offers automated toll and violations management solutions to fleet customers, is impacted by the number of toll roads in the United States and Europe and the geographic concentration of such roads. We monitor the expansion and penetration of toll roadways across the United States and Europe and the percentage of toll roads that rely on cashless or all-electronic infrastructure.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Legislation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is positively impacted, in significant part, by enabling legislation that permits photo enforcement programs at the federal, state, and local level in the United States. Accordingly, we depend on national, state, and local governments authorizing the use of automated photo enforcement and not otherwise materially restricting its use.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and certain distinct hardware installation and relocation activities.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software-as-a-service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subscription fees, professional services, and citation processing services related to parking management solutions to its customers.</w:t>
      </w:r>
    </w:p>
    <w:p>
      <w:pPr>
        <w:spacing w:after="0" w:line="1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Product sales are generated by the sale of photo enforcement equipment and certain highly interdependent and interrelated installation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the Government Solutions segment and specialized hardware in the Parking Solutions segment. Customer buying patterns vary greatly from period to period related to product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Service Revenue, Excluding Depreciation and Amortization</w:t>
      </w:r>
      <w:r>
        <w:rPr>
          <w:rFonts w:ascii="Times New Roman" w:cs="Times New Roman" w:eastAsia="Times New Roman" w:hAnsi="Times New Roman"/>
          <w:sz w:val="18"/>
          <w:szCs w:val="18"/>
          <w:color w:val="auto"/>
        </w:rPr>
        <w:t>. Cost of service revenue, excluding depreciation and amortization consists of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costs, certain distinct hardware installation and relocation costs, collection and other third-party costs in our segments.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photo enforcement equipment purchased by Government Solutions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 certain highly interdependent and interrelated installation services, and costs to develop hardware sold to Parking Solutions customers.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processing, and other operational costs, including print, postage, and communication costs.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real estate lease expense, insurance costs, professional services fees, and general corporate expenses.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This relates to impairment loss recognized on goodwill from past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Impairment of Intangible Assets. </w:t>
      </w:r>
      <w:r>
        <w:rPr>
          <w:rFonts w:ascii="Times New Roman" w:cs="Times New Roman" w:eastAsia="Times New Roman" w:hAnsi="Times New Roman"/>
          <w:sz w:val="18"/>
          <w:szCs w:val="18"/>
          <w:color w:val="auto"/>
        </w:rPr>
        <w:t>This relates to impairment loss recognized on intangibles.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Loss on extinguishment of debt consists of the write-off of pre-existing original issue discounts and deferred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debt extinguishment.</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credit card transactions, gains or losses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and other non-operating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7"/>
                <w:szCs w:val="17"/>
                <w:color w:val="auto"/>
              </w:rPr>
            </w:pPr>
          </w:p>
        </w:tc>
        <w:tc>
          <w:tcPr>
            <w:tcW w:w="144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4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239,905</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 w:type="dxa"/>
            <w:vAlign w:val="bottom"/>
            <w:shd w:val="clear" w:color="auto" w:fill="CFF0FC"/>
          </w:tcPr>
          <w:p>
            <w:pPr>
              <w:spacing w:after="0"/>
              <w:rPr>
                <w:sz w:val="23"/>
                <w:szCs w:val="23"/>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258,875</w:t>
            </w: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261,938</w:t>
            </w: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63"/>
        </w:trPr>
        <w:tc>
          <w:tcPr>
            <w:tcW w:w="2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88,036</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1"/>
        </w:trPr>
        <w:tc>
          <w:tcPr>
            <w:tcW w:w="20" w:type="dxa"/>
            <w:vAlign w:val="bottom"/>
            <w:shd w:val="clear" w:color="auto" w:fill="CFF0FC"/>
          </w:tcPr>
          <w:p>
            <w:pPr>
              <w:spacing w:after="0"/>
              <w:rPr>
                <w:sz w:val="20"/>
                <w:szCs w:val="20"/>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48"/>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(gain)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1"/>
        </w:trPr>
        <w:tc>
          <w:tcPr>
            <w:tcW w:w="20" w:type="dxa"/>
            <w:vAlign w:val="bottom"/>
            <w:tcBorders>
              <w:bottom w:val="single" w:sz="8" w:color="CFF0FC"/>
            </w:tcBorders>
          </w:tcPr>
          <w:p>
            <w:pPr>
              <w:spacing w:after="0"/>
              <w:rPr>
                <w:sz w:val="20"/>
                <w:szCs w:val="20"/>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on disposal of assets, net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29,264</w:t>
            </w:r>
          </w:p>
        </w:tc>
        <w:tc>
          <w:tcPr>
            <w:tcW w:w="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20" w:type="dxa"/>
            <w:vAlign w:val="bottom"/>
            <w:shd w:val="clear" w:color="auto" w:fill="CFF0FC"/>
          </w:tcPr>
          <w:p>
            <w:pPr>
              <w:spacing w:after="0"/>
              <w:rPr>
                <w:sz w:val="23"/>
                <w:szCs w:val="23"/>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193,315</w:t>
            </w:r>
          </w:p>
        </w:tc>
        <w:tc>
          <w:tcPr>
            <w:tcW w:w="8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80" w:type="dxa"/>
            <w:vAlign w:val="bottom"/>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20" w:type="dxa"/>
            <w:vAlign w:val="bottom"/>
          </w:tcPr>
          <w:p>
            <w:pPr>
              <w:spacing w:after="0"/>
              <w:rPr>
                <w:sz w:val="22"/>
                <w:szCs w:val="22"/>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74,809</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3"/>
        </w:trPr>
        <w:tc>
          <w:tcPr>
            <w:tcW w:w="2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80" w:type="dxa"/>
            <w:vAlign w:val="bottom"/>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57"/>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0"/>
        </w:trPr>
        <w:tc>
          <w:tcPr>
            <w:tcW w:w="20" w:type="dxa"/>
            <w:vAlign w:val="bottom"/>
            <w:shd w:val="clear" w:color="auto" w:fill="CFF0FC"/>
          </w:tcPr>
          <w:p>
            <w:pPr>
              <w:spacing w:after="0"/>
              <w:rPr>
                <w:sz w:val="23"/>
                <w:szCs w:val="23"/>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55,277</w:t>
            </w: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31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decreased by $3.3 million, or 1.4%, to $239.9 million for the three months ended September 30, 2026 from $243.2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2025, representing 92.7% and 92.9% of total revenue, respectively. The following table depicts service revenue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6"/>
                <w:szCs w:val="16"/>
                <w:color w:val="auto"/>
              </w:rPr>
            </w:pPr>
          </w:p>
        </w:tc>
        <w:tc>
          <w:tcPr>
            <w:tcW w:w="146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3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100,333</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117,296</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7"/>
        </w:trPr>
        <w:tc>
          <w:tcPr>
            <w:tcW w:w="20" w:type="dxa"/>
            <w:vAlign w:val="bottom"/>
            <w:shd w:val="clear" w:color="auto" w:fill="CFF0FC"/>
          </w:tcPr>
          <w:p>
            <w:pPr>
              <w:spacing w:after="0"/>
              <w:rPr>
                <w:sz w:val="24"/>
                <w:szCs w:val="24"/>
                <w:color w:val="auto"/>
              </w:rPr>
            </w:pPr>
          </w:p>
        </w:tc>
        <w:tc>
          <w:tcPr>
            <w:tcW w:w="3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122,463</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63"/>
        </w:trPr>
        <w:tc>
          <w:tcPr>
            <w:tcW w:w="20" w:type="dxa"/>
            <w:vAlign w:val="bottom"/>
            <w:tcBorders>
              <w:bottom w:val="single" w:sz="8" w:color="CFF0FC"/>
            </w:tcBorders>
          </w:tcPr>
          <w:p>
            <w:pPr>
              <w:spacing w:after="0"/>
              <w:rPr>
                <w:sz w:val="22"/>
                <w:szCs w:val="22"/>
                <w:color w:val="auto"/>
              </w:rPr>
            </w:pPr>
          </w:p>
        </w:tc>
        <w:tc>
          <w:tcPr>
            <w:tcW w:w="316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3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239,905</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-33655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-33655</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-213995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-213995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-899795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-899795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-899795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Services service revenue decreased by $17.0 million, or 14.5%, from $117.3 million for the three months ended September 30, 2025 to $100.3 million for the three months ended September 30, 2026. The decrease was primarily due to a $16.1 million reduction in RAC tolling revenue, due to the effect of contract extensions entered into with two of our significant customers on materially less favorable terms, fleet volume fluctuations with one significant customer, and reduced travel demand compared to the same period in 2025.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Solutions service revenue increased by $14.2 million, or 13.1%, from $108.3 million for the three months ended September 30, 2025, to $122.5 million for the three months ended September 30, 2026. The increase was primarily driven by an increase of $8.6 million attributable to expansion in speed, red light, bus lane, school bus and other services outside of NYCDOT. The remaining $5.6 million in growth is attributable to NYCDOT installation revenue on new camera installations, net of pricing changes under the new contract.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decreased to $17.1 million for the three months ended September 30, 2026, from $17.6 million for the three months ended September 30, 2025. The decreased revenue was primarily driven by a reduction in professional services and subscription services related to parking management solutions, partially offset by increases in SaaS product offerings.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Product sales were $19.0 million and $18.7 million for the three months ended September 30, 2026 and 2025, respectively.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$0.2 million and $0.1 million increase in product sales in the Parking Solutions and Government Solutions segments, respectively. Customer buying patterns vary greatly from period to period related to product sales.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 from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2025 to $14.9 million for the same period in 2026, mainly due to increased recurring service costs and NYCDOT installation service costs.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Product Sales</w:t>
      </w:r>
      <w:r>
        <w:rPr>
          <w:rFonts w:ascii="Times New Roman" w:cs="Times New Roman" w:eastAsia="Times New Roman" w:hAnsi="Times New Roman"/>
          <w:sz w:val="18"/>
          <w:szCs w:val="18"/>
          <w:color w:val="auto"/>
        </w:rPr>
        <w:t>. Cost of product sales increased by $4.8 million from $12.8 million in the three months ended September 30, 2025 to $17.6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2026, which was due to increased product sales primarily driven by the NYCDOT expansion.</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increased by $2.4 million, or 2.7%, from $88.0 million for the three months ended September 30, 2025 to $90.4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2026. The increase in 2026 compared to the prior year period was primarily due to increases of $7.6 million in subcontractor, information technology, recurring services and rent costs, partially offset by $5.1 million in lower wage expense. Operating expenses as a percentage of total revenue increased from 33.6% to 34.9% for the three months ended September 30, 2025 and 2026, respectively. The following table presents operating expenses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6"/>
                <w:szCs w:val="16"/>
                <w:color w:val="auto"/>
              </w:rPr>
            </w:pPr>
          </w:p>
        </w:tc>
        <w:tc>
          <w:tcPr>
            <w:tcW w:w="14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0"/>
        </w:trPr>
        <w:tc>
          <w:tcPr>
            <w:tcW w:w="20" w:type="dxa"/>
            <w:vAlign w:val="bottom"/>
            <w:shd w:val="clear" w:color="auto" w:fill="CFF0FC"/>
          </w:tcPr>
          <w:p>
            <w:pPr>
              <w:spacing w:after="0"/>
              <w:rPr>
                <w:sz w:val="23"/>
                <w:szCs w:val="23"/>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88,882</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10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3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90,404</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88,036</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-33655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-33655</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-213360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-213360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-213360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-565150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-565150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-565150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-1250950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-1250950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-1250950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to $43.4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$47.8 million for the same period in 2025. This was primarily due to a $7.9 million decrease in wages and benefits expense and a $4.3 million decrease in stock-based compensation, partially offset by a $7.9 million increase in expenses related to organization restructuring and executive transition costs and a $2.1 million increase in credit loss expense compared to the same period in the prior year. Selling, general and administrative expenses as a percentage of total revenue decreased from 18.2% to 16.8% for the three months ended September 30, 2025 and 2026, respectively. The following table presents selling, general and administrative expenses by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6"/>
                <w:szCs w:val="16"/>
                <w:color w:val="auto"/>
              </w:rPr>
            </w:pPr>
          </w:p>
        </w:tc>
        <w:tc>
          <w:tcPr>
            <w:tcW w:w="14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FF0FC"/>
          </w:tcPr>
          <w:p>
            <w:pPr>
              <w:spacing w:after="0"/>
              <w:rPr>
                <w:sz w:val="17"/>
                <w:szCs w:val="17"/>
                <w:color w:val="auto"/>
              </w:rPr>
            </w:pPr>
          </w:p>
        </w:tc>
        <w:tc>
          <w:tcPr>
            <w:tcW w:w="318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by segment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37,563</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45,505</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160.9 %</w:t>
            </w: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80" w:type="dxa"/>
            <w:vAlign w:val="bottom"/>
            <w:shd w:val="clear" w:color="auto" w:fill="CFF0FC"/>
          </w:tcPr>
          <w:p>
            <w:pPr>
              <w:spacing w:after="0"/>
              <w:rPr>
                <w:sz w:val="18"/>
                <w:szCs w:val="18"/>
                <w:color w:val="auto"/>
              </w:rPr>
            </w:pPr>
          </w:p>
        </w:tc>
        <w:tc>
          <w:tcPr>
            <w:tcW w:w="2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10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FF0FC"/>
            </w:tcBorders>
            <w:shd w:val="clear" w:color="auto" w:fill="CFF0FC"/>
          </w:tcPr>
          <w:p>
            <w:pPr>
              <w:spacing w:after="0"/>
              <w:rPr>
                <w:sz w:val="20"/>
                <w:szCs w:val="20"/>
                <w:color w:val="auto"/>
              </w:rPr>
            </w:pPr>
          </w:p>
        </w:tc>
        <w:tc>
          <w:tcPr>
            <w:tcW w:w="31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-33655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-33655</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-316230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-316230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-788035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-788035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-1602105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-1602105</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million to $26.9 million for the three months ended September 30, 2026 from $29.3 million for the same period in 2025.</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approximately $1.4 million from $16.4 million for the three months ended September 30, 2025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 million for the same period in 2026. This was primarily attributable to a 25 basis-point reduction in the interest rate as a result of refinancing our 2021 Term Loan in October 2025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We recorded less than $0.1 million of loss on extinguishment of debt during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write-off of pre-existing deferred financing costs and discounts in connection with the early repayment on the 2021 Term Loan.</w:t>
      </w:r>
    </w:p>
    <w:p>
      <w:pPr>
        <w:spacing w:after="0" w:line="104"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$4.7 million for the three months ended September 30, 2026 compared to $6.3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was primarily attributable to a decrease in volume rebates earned from total spend on credit card transactions due to decreased tolling and travel activity.</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$14.9 million representing an effective tax rate of 26.9%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$17.8 million, with an effective tax rate of 27.6% for the same period in 2025.</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$40.4 million for the three months ended September 30, 2026, as compared to a net income of $46.8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2025. The $6.4 million decrease was primarily due to the increase in cost of service revenue, excluding depreciation and amortization expense and decrease in service revenue and the other statement of operations activity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7"/>
                <w:szCs w:val="17"/>
                <w:color w:val="auto"/>
              </w:rPr>
            </w:pPr>
          </w:p>
        </w:tc>
        <w:tc>
          <w:tcPr>
            <w:tcW w:w="150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4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3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3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CEEFF"/>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678,598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2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721,217</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77"/>
        </w:trPr>
        <w:tc>
          <w:tcPr>
            <w:tcW w:w="20" w:type="dxa"/>
            <w:vAlign w:val="bottom"/>
            <w:shd w:val="clear" w:color="auto" w:fill="CCEEFF"/>
          </w:tcPr>
          <w:p>
            <w:pPr>
              <w:spacing w:after="0"/>
              <w:rPr>
                <w:sz w:val="24"/>
                <w:szCs w:val="2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63"/>
        </w:trPr>
        <w:tc>
          <w:tcPr>
            <w:tcW w:w="2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1"/>
        </w:trPr>
        <w:tc>
          <w:tcPr>
            <w:tcW w:w="2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48"/>
        </w:trPr>
        <w:tc>
          <w:tcPr>
            <w:tcW w:w="2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5"/>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(gain)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disposal of assets,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7"/>
        </w:trPr>
        <w:tc>
          <w:tcPr>
            <w:tcW w:w="20" w:type="dxa"/>
            <w:vAlign w:val="bottom"/>
            <w:shd w:val="clear" w:color="auto" w:fill="CCEEFF"/>
          </w:tcPr>
          <w:p>
            <w:pPr>
              <w:spacing w:after="0"/>
              <w:rPr>
                <w:sz w:val="24"/>
                <w:szCs w:val="2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3"/>
        </w:trPr>
        <w:tc>
          <w:tcPr>
            <w:tcW w:w="2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316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661,453</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525,829</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135,624</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57"/>
        </w:trPr>
        <w:tc>
          <w:tcPr>
            <w:tcW w:w="20" w:type="dxa"/>
            <w:vAlign w:val="bottom"/>
          </w:tcPr>
          <w:p>
            <w:pPr>
              <w:spacing w:after="0"/>
              <w:rPr>
                <w:sz w:val="22"/>
                <w:szCs w:val="22"/>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195,388</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77"/>
        </w:trPr>
        <w:tc>
          <w:tcPr>
            <w:tcW w:w="20" w:type="dxa"/>
            <w:vAlign w:val="bottom"/>
            <w:shd w:val="clear" w:color="auto" w:fill="CCEEFF"/>
          </w:tcPr>
          <w:p>
            <w:pPr>
              <w:spacing w:after="0"/>
              <w:rPr>
                <w:sz w:val="24"/>
                <w:szCs w:val="2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3"/>
        </w:trPr>
        <w:tc>
          <w:tcPr>
            <w:tcW w:w="2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7"/>
        </w:trPr>
        <w:tc>
          <w:tcPr>
            <w:tcW w:w="20" w:type="dxa"/>
            <w:vAlign w:val="bottom"/>
            <w:shd w:val="clear" w:color="auto" w:fill="CCEEFF"/>
          </w:tcPr>
          <w:p>
            <w:pPr>
              <w:spacing w:after="0"/>
              <w:rPr>
                <w:sz w:val="24"/>
                <w:szCs w:val="2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7"/>
        </w:trPr>
        <w:tc>
          <w:tcPr>
            <w:tcW w:w="2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64"/>
        </w:trPr>
        <w:tc>
          <w:tcPr>
            <w:tcW w:w="2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increased by $21.4 million, or 3.2%, to $700.0 million for the nine months ended September 30, 2026 from $678.6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2025, representing 93.8% and 94.1% of total revenue, respectively. The following table depicts service revenue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6"/>
                <w:szCs w:val="16"/>
                <w:color w:val="auto"/>
              </w:rPr>
            </w:pPr>
          </w:p>
        </w:tc>
        <w:tc>
          <w:tcPr>
            <w:tcW w:w="1460" w:type="dxa"/>
            <w:vAlign w:val="bottom"/>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3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313,201</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335,586</w:t>
            </w: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300,246</w:t>
            </w: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51,220</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3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678,598</w:t>
            </w:r>
          </w:p>
        </w:tc>
        <w:tc>
          <w:tcPr>
            <w:tcW w:w="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-33655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-33655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-33655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-213995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-213995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-213995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-899795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-899795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-899795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Services service revenue decreased by $14.5 million, or 4.4%, from $327.7 million for the nine months ended September 30, 2025 to $313.2 million for the nine months ended September 30, 2026. The decrease was primarily driven by a $11.5 million reduction in RAC tolling revenue due to the effect of contract extensions entered into with two of our significant customers on materially less favorable terms, and fleet volume fluctuations with one significant customer, with the remaining decrease primarily driven by lower revenue generated from our FMC customers due to customer churn.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Solutions service revenue increased by $35.3 million, or 11.8%, from $300.2 million for the nine months ended September 30, 2025, to $335.6 million for the nine months ended September 30, 2026. The increase was primarily driven by $21.1 million in revenue from speed, bus lane, red light, school bus and other services outside of NYCDOT. The remaining $14.2 million in growth comes from installation revenue on new camera installations for NYCDOT, net of price changes on the new contract.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increased to $51.2 million for the nine months ended September 30, 2026, from $50.6 million for the nine months ended September 30, 2025. The increased revenue was primarily driven by SaaS product offerings, partially offset by a decrease in subscription and professional services related to parking management solutions.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Product sales were $46.0 million and $42.6 million for the nine months ended September 30, 2026 and 2025,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$3.4 million, which was due to a $3.9 million increase in product sales in the Government Solutions segment partially offset by a $0.5 million decrease in product sales in the Parking Solutions segment. Customer buying patterns vary greatly from period to period related to product sales.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Service Revenue, Excluding Depreciation and Amortization</w:t>
      </w:r>
      <w:r>
        <w:rPr>
          <w:rFonts w:ascii="Times New Roman" w:cs="Times New Roman" w:eastAsia="Times New Roman" w:hAnsi="Times New Roman"/>
          <w:sz w:val="18"/>
          <w:szCs w:val="18"/>
          <w:color w:val="auto"/>
        </w:rPr>
        <w:t>. Cost of service revenue, excluding depreciation and amortization increased from $18.7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2025 to $36.5 million for the same period in 2026, mainly due to increased recurring service costs and NYCDOT installation service costs.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$10.2 million from $29.8 million in the nine months ended September 30, 2025 to $40.0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nine months ended September 30, 2026, which was due to increased product sales compared to the same period in 2025.</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increased by $23.8 million, or 9.8%, from $243.1 million for the nine months ended September 30, 2025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$266.9 million for the nine months ended September 30, 2026. The increase in 2026 compared to the prior year period was primarily in the Government Solutions segment for approximately $20.1 million driven by increases in subcontractor, information technology, rent, and recurring services costs and approximately $3.0 million in the Parking Solutions segment driven by wages, information technology and subcontractor costs. Operating expenses as a percentage of total revenue increased from 33.7% to 35.8% for the nine months ended September 30, 2025 and 2026, respectively. The following table presents operating expenses by segment: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6"/>
                <w:szCs w:val="16"/>
                <w:color w:val="auto"/>
              </w:rPr>
            </w:pPr>
          </w:p>
        </w:tc>
        <w:tc>
          <w:tcPr>
            <w:tcW w:w="14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3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175,461</w:t>
            </w: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155,344</w:t>
            </w: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20,117</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0"/>
        </w:trPr>
        <w:tc>
          <w:tcPr>
            <w:tcW w:w="20" w:type="dxa"/>
            <w:vAlign w:val="bottom"/>
            <w:shd w:val="clear" w:color="auto" w:fill="CFF0FC"/>
          </w:tcPr>
          <w:p>
            <w:pPr>
              <w:spacing w:after="0"/>
              <w:rPr>
                <w:sz w:val="23"/>
                <w:szCs w:val="23"/>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262,336</w:t>
            </w: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239,039</w:t>
            </w: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64"/>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3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266,924</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243,092</w:t>
            </w:r>
          </w:p>
        </w:tc>
        <w:tc>
          <w:tcPr>
            <w:tcW w:w="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-33655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-33655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-33655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-213995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-213995</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-213995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-565150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-565150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-565150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-1250950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-1250950</wp:posOffset>
            </wp:positionV>
            <wp:extent cx="59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-1250950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to $128.3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$147.7 million for the same period in 2025. This was primarily due to a $11.4 million decrease in stock-based compensation, a $9.1 million decrease in wages and benefits expense, a $6.8 million decrease related to a legal settlement finalized in February 2026 and a $4.5 million decrease in credit loss expense partially offset by a $13.6 million increase in expenses related to organization restructuring and executive transition costs compared to the same period in the prior year. Selling, general and administrative expenses as a percentage of total revenue decreased from 20.5% to 17.2% for the nine months ended September 30, 2025 and 2026, respectively. The following table presents selling, general and administrative expenses by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6"/>
                <w:szCs w:val="16"/>
                <w:color w:val="auto"/>
              </w:rPr>
            </w:pPr>
          </w:p>
        </w:tc>
        <w:tc>
          <w:tcPr>
            <w:tcW w:w="148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FF0FC"/>
          </w:tcPr>
          <w:p>
            <w:pPr>
              <w:spacing w:after="0"/>
              <w:rPr>
                <w:sz w:val="17"/>
                <w:szCs w:val="17"/>
                <w:color w:val="auto"/>
              </w:rPr>
            </w:pPr>
          </w:p>
        </w:tc>
        <w:tc>
          <w:tcPr>
            <w:tcW w:w="318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50,244</w:t>
            </w: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64"/>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by segment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120,106</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134,631</w:t>
            </w: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64"/>
        </w:trPr>
        <w:tc>
          <w:tcPr>
            <w:tcW w:w="2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8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128,281</w:t>
            </w:r>
          </w:p>
        </w:tc>
        <w:tc>
          <w:tcPr>
            <w:tcW w:w="80" w:type="dxa"/>
            <w:vAlign w:val="bottom"/>
            <w:shd w:val="clear" w:color="auto" w:fill="CFF0FC"/>
          </w:tcPr>
          <w:p>
            <w:pPr>
              <w:spacing w:after="0"/>
              <w:rPr>
                <w:sz w:val="18"/>
                <w:szCs w:val="18"/>
                <w:color w:val="auto"/>
              </w:rPr>
            </w:pP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147,724</w:t>
            </w:r>
          </w:p>
        </w:tc>
        <w:tc>
          <w:tcPr>
            <w:tcW w:w="8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FF0FC"/>
            </w:tcBorders>
            <w:shd w:val="clear" w:color="auto" w:fill="CFF0FC"/>
          </w:tcPr>
          <w:p>
            <w:pPr>
              <w:spacing w:after="0"/>
              <w:rPr>
                <w:sz w:val="22"/>
                <w:szCs w:val="22"/>
                <w:color w:val="auto"/>
              </w:rPr>
            </w:pPr>
          </w:p>
        </w:tc>
        <w:tc>
          <w:tcPr>
            <w:tcW w:w="31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FF0FC"/>
          </w:tcPr>
          <w:p>
            <w:pPr>
              <w:spacing w:after="0"/>
              <w:rPr>
                <w:sz w:val="22"/>
                <w:szCs w:val="22"/>
                <w:color w:val="auto"/>
              </w:rPr>
            </w:pPr>
          </w:p>
        </w:tc>
        <w:tc>
          <w:tcPr>
            <w:tcW w:w="920" w:type="dxa"/>
            <w:vAlign w:val="bottom"/>
            <w:tcBorders>
              <w:bottom w:val="single" w:sz="8" w:color="auto"/>
            </w:tcBorders>
            <w:vMerge w:val="continue"/>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vMerge w:val="continue"/>
            <w:shd w:val="clear" w:color="auto" w:fill="CFF0FC"/>
          </w:tcPr>
          <w:p>
            <w:pPr>
              <w:spacing w:after="0"/>
              <w:rPr>
                <w:sz w:val="22"/>
                <w:szCs w:val="22"/>
                <w:color w:val="auto"/>
              </w:rPr>
            </w:pPr>
          </w:p>
        </w:tc>
        <w:tc>
          <w:tcPr>
            <w:tcW w:w="920" w:type="dxa"/>
            <w:vAlign w:val="bottom"/>
            <w:tcBorders>
              <w:bottom w:val="single" w:sz="8" w:color="auto"/>
            </w:tcBorders>
            <w:vMerge w:val="continue"/>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auto"/>
            </w:tcBorders>
            <w:vMerge w:val="continue"/>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vMerge w:val="continue"/>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vMerge w:val="continue"/>
            <w:shd w:val="clear" w:color="auto" w:fill="CFF0FC"/>
          </w:tcPr>
          <w:p>
            <w:pPr>
              <w:spacing w:after="0"/>
              <w:rPr>
                <w:sz w:val="22"/>
                <w:szCs w:val="22"/>
                <w:color w:val="auto"/>
              </w:rPr>
            </w:pPr>
          </w:p>
        </w:tc>
        <w:tc>
          <w:tcPr>
            <w:tcW w:w="8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-33655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-33655</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-316865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-316865</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-788035</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-788035</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-1602105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-1602105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million to $85.4 million for the nine months ended September 30, 2026 from $86.6 million for the same period in 2025. This was primarily due to a decrease in intangible asset amortization as a result of the impairment recorded in June 2026, partially offset by an increase in depreciation expense related to equipment, internally developed software and vehicles in the 2026 period compared to the 2025 period.</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decreased by approximately $3.7 million from $49.6 million for the nine months ended September 30, 2025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$45.9 million for the same period in 2026. This was primarily attributable to a 25 basis-point reduction in the interest rate as a result of refinancing our 2021 Term Loan in October 2025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We recorded an impairment loss of $64.0 million for the nine months ended September 30, 2026, as a result of the May 2026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impairment assessment of goodwill in our Parking Solutions segment. See Note 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additional information.</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Impairment of Intangible Assets</w:t>
      </w:r>
      <w:r>
        <w:rPr>
          <w:rFonts w:ascii="Times New Roman" w:cs="Times New Roman" w:eastAsia="Times New Roman" w:hAnsi="Times New Roman"/>
          <w:sz w:val="18"/>
          <w:szCs w:val="18"/>
          <w:color w:val="auto"/>
        </w:rPr>
        <w:t>. We recorded an impairment loss of $40.4 million for the nine months ended September 30, 2026, as a result of the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2026 assessment of long-lived assets in our Parking Solutions segment. See Note 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additional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less than $0.1 million of loss on extinguishment of debt during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write-off of pre-existing deferred financing costs and discounts in connection with the early repayment on the 2021 Term Loan.</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$14.9 million for the nine months ended September 30, 2026 compared to $16.4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was primarily attributable to a decrease in volume rebates earned from total spend on credit card transactions due to decreased tolling and travel activity.</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Income tax provision was $34.6 million representing an effective tax rate of 64.6%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$44.3 million, with an effective tax rate of 27.4% for the same period in 2025. The increase in effective tax rate variance was primarily driven by the goodwill impairment recorded for the nine months ended September 30, 2026, which is not deductible for tax purposes.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We had net income of $19.0 million for the nine months ended September 30, 2026, as compared to a net income of $117.8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primarily due to impairment on goodwill and intangible assets recorded for the nine months ended September 30, 2026, and an increase in operating expenses, partially offset by a decrease in selling, general and administrative expenses and the other statement of operating activity discussed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Amended Revolver.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Amended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Amended Revolver, or equity financings, all of which may not be available to us on favorable terms or at all. We have the ability to borrow under our Amended Revolver to meet expected obligations as they come due.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originally entered into the Revolver in March 2018 and increased the borrowing capacity thereunder to $125.0 million in May 2025 pursuant to an amendment thereto. In fiscal year 2025, we amended and restated the Revolver and entered into the Amended and Restated Revolving Credit Agreement which increased the existing commitment from $125.0 million to $150.0 million and extended the maturity date to October 17, 2030. As of September 30, 2026, we had no outstanding borrowings and $127.3 million available for borrowing, net of letters of credit, under our Amended Revolver. Our cash on hand was $137.0 million as of September 30, 2026.</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2025, we refinanced the existing senior secured term loans under the 2021 Term Loan in an aggregate outstanding principal amount of approximately $688.8 million with a new senior secured term loan of the same principal amount maturing on October 15, 2032 and reduced the interest rate by 0.25%. We made quarterly repayments totaling $5.2 million on our Amended Term Loan during the nine months ended September 30, 2026, and as a result, the total principal outstanding on the Amended Term Loan was $681.9 million as of September 30, 2026.</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the tax receivable agreement liability was approximately $38.7 million. We expect to make payments of approximately $5.4 million per year for the next seven years and approximately $1.0 million in the final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in December 2024, our Board of Directors authorized the repurchase of up to an additional $100.0 million of our outstanding shares under the then-existing program, providing us with approximately $112.7 million available for repurchases. In December 2024, we entered into an ASR agreement with a third-party financial institution and paid $112.7 million to receive an initial delivery of 3,821,958 shares of our Class A Common Stock. The final settlement occurred on March 3, 2025, at which time, we received an additional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685,934 shares of Class A Common Stock calculated using a volume-weighted average price over the term of the ASR agreement. All repurchased shares were subsequently retired. The prior repurchase authorization expired on April 30, 2025.</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our Board of Directors authorized a new share repurchase program for up to an aggregate amount of $100.0 million of our outstanding shares of Class A Common Stock over an 18-month period. On October 23, 2025, our Board of Directors authorized the repurchase of up to an additional $150.0 million of our outstanding shares of Class A Common Stock under the existing May 2025 program, providing us with $250.0 million available for repurchases. During the fourth quarter of fiscal year 2025, we paid $133.4 million to repurchase 6,028,853 shares of our Class A Common Stock through open market transactions. All repurchased shares were subsequently retired.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paid $50.2 million to repurchase 2,215,800 shares of our Class A Common Stock through open market transactions, which were subsequently retired. In addition, we recorded approximately $0.5 million within accrued liabilities on the condensed consolidated balance sheets as of September 30, 2026 for direct costs related to the excise tax payable on net share repurchases. During the nine months ended September 30, 2026, we made approximately $1.4 million of excise tax payments. As of September 30, 2026, $66.3 million remains available under our authorized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211,775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215,828</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2"/>
                <w:szCs w:val="22"/>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(79,658)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(84,653)</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(60,666)</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(13,320)</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decreased by $4.0 million from $215.8 million for the nine months ended September 30, 2025 to $211.8 million for the nine months ended September 30, 2026. Net income year-over-year decreased by $98.8 million, from $117.8 million in 2025 to $19.0 million in 2026. The aggregate adjustments to reconcile net income to net cash provided by operating activities increased $74.5 million mainly due to the impairment on goodwill and intangible assets recorded for the current period, partially offset by a decrease in stock-based compensation, share-based proceeds acquired from a legal settlement finalized in February 2026, a decrease in deferred income taxes and credit loss expense. The aggregate changes in operating assets and liabilities increased by $20.3 million in 2026 compared to the prior year primarily due to a decrease in the net use of working capital, of which, the majority is attributable to a decrease in accounts receivable and an increase in other liabilities, partially offset by an increase in unbilled receivables and inventory. The increase in unbilled receivables was primarily due to the approximately $55.6 million of unbilled revenue related to NYCDOT as of September 30,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$79.7 million and $84.7 million for the nine months ended September 30, 2026 and 2025, respectively. The decrease in cash used was primarily driven by a $4.7 million decrease for purchases of installation and service parts and property and equipment mainly for the Government Solutions segment compared to the same period in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$60.7 million and $13.3 million for the nine months ended September 30, 2026 and 2025, respectively. The increased use in cash from financing activities was mainly due to $51.6 million of share repurchases in fiscal year 2026 and no comparable repurchases in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Amended Term Loan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VM Consolidated, our wholly owned subsidiary, entered into the 2021 Term Loan with a syndicate of lenders. The 2021 Term Loan had an aggregate borrowing of $900.0 million, maturing on March 24, 2028. In connection with the 2021 Term Loan borrowings, we had $4.6 million of offering discount costs and $4.5 million in deferred financing costs, both of which were capitalized and amortized over the life of the 2021 Term Loan. Such offering discount costs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financing costs have subsequently been adjusted as needed as a result of refinancing activity discussed below which prompted re-evaluation of unamortized amounts on a lender-by-lender basis.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VM Consolidated and certain of our subsidiaries entered into the Amendment and Restatement Agreement No. 2 to the Amended and Restated First Lien Term Loan Credit Agreement dated as of March 26, 2021, to refinance the existing senior secured term loans in an aggregate outstanding principal amount of approximately $688.8 million with a new senior secured term loan of the same principal amount maturing on October 15, 2032. The proceeds from the Amended Term Loan were used in their entirety to prepay in full the outstanding principal amount of the existing term loan under the 2021 Term Loan agreement.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Term Loan bears interest at a per annum rate equal to SOFR plus an applicable margin of 2.00%, or a base rate plus an applicable margin of 1.00%. As of September 30, 2026, the interest rate on the Amended Term Loan was 5.9%.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We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made quarterly repayments totaling $5.2 million on the Amended Term Loan. During the nine months ended September 30, 2025, we made voluntary prepayments totaling $6.8 million on the 2021 Term Loan. As a result, the total principal outstanding was $681.9 million as of September 30, 2026.</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less than $0.1 million of loss on extinguishment of debt during both the three and nine months ended September 30, 2025, related to the write-off of pre-existing deferred financing costs and discounts in connection with the early repayments.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75"/>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Prepayment</w:t>
            </w:r>
          </w:p>
        </w:tc>
      </w:tr>
      <w:tr>
        <w:trPr>
          <w:trHeight w:val="190"/>
        </w:trPr>
        <w:tc>
          <w:tcPr>
            <w:tcW w:w="97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in the Amended and Restated Term Loan Agreement)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3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966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3840" w:type="dxa"/>
            <w:vAlign w:val="bottom"/>
          </w:tcPr>
          <w:p>
            <w:pPr>
              <w:spacing w:after="0"/>
              <w:rPr>
                <w:sz w:val="18"/>
                <w:szCs w:val="18"/>
                <w:color w:val="auto"/>
              </w:rPr>
            </w:pPr>
          </w:p>
        </w:tc>
        <w:tc>
          <w:tcPr>
            <w:tcW w:w="5920" w:type="dxa"/>
            <w:vAlign w:val="bottom"/>
            <w:gridSpan w:val="5"/>
          </w:tcPr>
          <w:p>
            <w:pPr>
              <w:jc w:val="center"/>
              <w:ind w:right="3920"/>
              <w:spacing w:after="0"/>
              <w:rPr>
                <w:sz w:val="20"/>
                <w:szCs w:val="20"/>
                <w:color w:val="auto"/>
              </w:rPr>
            </w:pPr>
            <w:r>
              <w:rPr>
                <w:rFonts w:ascii="Times New Roman" w:cs="Times New Roman" w:eastAsia="Times New Roman" w:hAnsi="Times New Roman"/>
                <w:sz w:val="18"/>
                <w:szCs w:val="18"/>
                <w:color w:val="auto"/>
                <w:w w:val="99"/>
              </w:rPr>
              <w:t>&lt; 3.70:1.00 and &gt; 3.20:1.00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34"/>
        </w:trPr>
        <w:tc>
          <w:tcPr>
            <w:tcW w:w="38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966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&lt; 3.20:1.00</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34"/>
        </w:trPr>
        <w:tc>
          <w:tcPr>
            <w:tcW w:w="38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51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-521970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Notes,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face value plus accrued and unpaid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 Revolving Credit Agreement in March 2018 with a commitment of up to $75.0 million available for loans and letters of credit. In May 2025, pursuant to an amendment thereto, such commitment was increased to $125.0 million. On October 17, 2025, certain of our direct and indirect wholly owned subsidiaries, including VM Consolidated, entered into the Amended and Restated Revolving Credit Agreement to amend and restate the Revolver.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Amended Revolver accrue interest at per annum rate equal to SOFR plus a margin ranging from 1.25% to 1.75% or a base rate plus a margin ranging from 0.25% to 0.75%, in each case, depending on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no outstanding borrowings on the Amended Revolver as of September 30, 2026 or December 31, 2025. The availability to borrow was $127.3 million at September 30, 2026, calculated as our borrowing base which consists of certain eligible accounts receivable and inventory balances, less any outstanding borrowings and letters of credit up to the maximum commitment available.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fee on the unused portion of the Amended Revolver is payable quarterly at (x) an annual rate of 0.375%, when quarterly average usage was less than 50% of the loan commitments in the prior quarter or (y) an annual rate of 0.250%, when quarterly average usage of the Amended Revolver was greater than or equal to 50% of the loan commitments in the prior quarter. We are also required to pay participation and fronting fees at 1.38% on $4.9 million of outstanding letters of credit as of September 30, 2026.</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September 30, 2026, we were compliant with all debt covenants in our debt agreements.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we enter into equipment financing arrangements in the normal course of business, including certain equipment leases and purchases accounted for as financing arrangements. Amounts outstanding under these arrangements are included in “Other debt” in Note 6,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in Part I, Item 1, Financial Statements, and were not material to our overall financial position, liquidity, or capital resources as of September 30,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$15.0 million and $16.4 million for the three months ended September 30, 2026 and 2025, respectively, and $45.9 million and $49.6 million for the nine months ended September 30, 2026 and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September 30,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rates on the Amended Term Loan and Amended Revolver described in Part I, Item 2,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Amended Term Loan, which has an outstanding balance of $681.9 million at September 30, 2026. As of September 30, 2026, the interest rate on the Amended Term Loan was 5.9%.</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September 30, 2026 balance outstanding, each 1% movement in interest rates will result in an approximately $6.8 million change in annual interest expense.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Interim Chief Executive Officer and Chief Financial Officer, with assistance from other members of management, have evaluated the effectiveness of our disclosure controls and procedures as of September 30, 2026. Based upon such evaluation, our principal executive officer and principal financial officer have concluded that our disclosure controls and procedures were effective at the reasonable assurance level as of such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Rules 13a-15(f) and 15d-15(f) under the Exchange Act) during the quarter ended September 30, 2026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4, 2026, a putative securities class action was filed in the United States District Court for the District of Arizona, captioned Otucu v. Verra Mobility Co., et al., on behalf of a putative class of investors who purchased the Company's common stock between February 24, 2026 and May 26, 2026. The complaint alleges violations of Sections 10(b) and 20(a) of the Securities Exchange Act of 1934 and seeks an unspecified amount of damages on behalf of investors that purchased or otherwise acquired Company common stock between February 24, 2026 and May 26, 2026. The complaint alleges that defendants materially misled the putative class with respect to the Company’s statements regarding contract renewal negotiations with a Commercial Services customer and guidance with respect to full year 2026. The Company intends to defend this matter vigorously. The Company has not recorded any loss or gain contingencies associated with this matter as it is not probable or reasonably estimable at September 30, 2026.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When necessary, we accrue estimated amounts related to legal proceedings within accrued liabilities on the condensed consolidated balance sheets. The information contained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of this Quarterly Report on Form 10-Q is incorporated herein by reference.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Annual Report on Form 10-K for the year ended December 31, 2025, and Part II, Item 1, in our Quarterly Reports on Form 10-Q for the quarterly periods ended March 31, 2026 and June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I, Item 1A. “Risk Factors” in our Annual Report includes a discussion of our risk factors. Other than the risk factors below, there have been no material changes from the risk factors described in our Annual Report. We may disclose changes to such risk factors or disclose additional risk factors from time to time in our future SEC filings.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Services and Government Solutions segments have several large customers that account for a significant portion of our revenue, and a reduction in demand, materially less favorable terms or pricing in new or amended agreements as compared to the current agreements, or the loss, even temporarily, of one or more of such customers has and could have in the future a material adverse effect on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experiences varying levels of customer concentration. For example, in our Government Solutions segment, NYCDOT represented approximately 24.1% and 19.5% of our total revenues for the quarters ended September 30, 2026 and 2025, respectively. We entered into a new contract with NYCDOT, effective January 1, 2026, to manage New York City’s automated enforcement camera safety programs for a five-year period. The terms of the new contract are materially different than our prior contract with NYCDOT, including service level agreements, service credits, liquidated damages, cybersecurity, and subcontracting requirements. If we do not successfully perform the contract pursuant to its terms, it could have a material adverse effect on our business, financial condition, and results of operations. We may continue to rely on a small number of customers in our Government Solutions segment to represent a significant portion of our total revenues in any given period. The loss of any of our top Government Solutions customers could have a material adverse effect on our business, financial condition, and results of operations.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experience customer concentration in our Commercial Services segment. Three of our Commercial Services customers collectively accounted for 29.5% and 38.0% of our total revenues for the quarters ended September 30, 2026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2025, respectively. In May 2026, one of our three significant Commercial Services customers issued a termination notice with respect to its contract with us. The customer subsequently withdrew its termination notice in July 2026 and entered into a seven-year contract extension on terms that were materially less favorable to us as compared to the prior agreement, including an option for the customer to modulate its fleet volume. During the third quarter of 2026, the customer significantly reduced its fleet volume under the contract and on October 2, 2026, we exercised our option to terminate the contract, effective January 30, 2027. We may be unable to replace the revenue that was expected under this contract on a timely basis or at all. A second significant Commercial Services customer entered into a five-year contract extension, also on terms materially less favorable to us than those of the prior agreement and with fleet volume modulation rights that are subject to terms and conditions set forth in the agreement. In addition, the contract with the third significant Commercial Services customer is approaching renewal, and we are following the customer's procurement process. We may not be successful in retaining the contract or may retain it only on terms less favorable to us than the current agreement.</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successful in retaining the third customer contract or if any renewal is on less favorable terms than the current agreement and/or if either of the remaining contracts is terminated, this would have a material adverse effect on our business,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midst of CEO and CFO transitions, and we depend on the services of key executives. Any inability to successfully transition leadership or to attract and retain key management personnel could have a material adverse effect on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our future success depends upon the services of our executive management team, who have critical experience and relationships that we rely on to implement our business plan and growth strategy. From time to time, there have been and may be future changes in our executive management team resulting from the hiring or departure of these executives. Following the departure of our former Chief Executive Officer in May 2026, we have operated under the leadership of an Interim President and Chief Executive Officer. On September 30, 2026, our Board appointed Jon Newhard as President and Chief Executive Officer, effective November 1, 2026. In addition, on October 8, 2026, Craig Conti notified us of his resignation as Executive Vice President and Chief Financial Officer, effective November 4, 2026, and the Board has retained Spencer Stuart to conduct a search for a permanent Chief Financial Officer. The Board has appointed Matthew Kvarda, a Managing Director with Alvarez &amp; Marsal North America, LLC (“</w:t>
      </w:r>
      <w:r>
        <w:rPr>
          <w:rFonts w:ascii="Times New Roman" w:cs="Times New Roman" w:eastAsia="Times New Roman" w:hAnsi="Times New Roman"/>
          <w:sz w:val="18"/>
          <w:szCs w:val="18"/>
          <w:b w:val="1"/>
          <w:bCs w:val="1"/>
          <w:i w:val="1"/>
          <w:iCs w:val="1"/>
          <w:color w:val="auto"/>
        </w:rPr>
        <w:t>A&amp;M</w:t>
      </w:r>
      <w:r>
        <w:rPr>
          <w:rFonts w:ascii="Times New Roman" w:cs="Times New Roman" w:eastAsia="Times New Roman" w:hAnsi="Times New Roman"/>
          <w:sz w:val="18"/>
          <w:szCs w:val="18"/>
          <w:color w:val="auto"/>
        </w:rPr>
        <w:t>”), as Interim Chief Financial Officer, effective November 5, 2026. Mr. Kvarda will provide his services pursuant to an engagement letter with A&amp;M, will remain an employee of A&amp;M, and is not expected to serve as our permanent Chief Financial Officer. Either we or A&amp;M may terminate the engagement on short notice, and an interim officer may be less familiar with our business, systems and personnel than a permanent officer. We cannot predict the duration of the search or whether we will be able to identify and successfully onboard a qualified successor on a timely basis. Effective succession planning and leadership transitions are complex undertakings, and we cannot assure you that Mr. Newhard’s integration into the Company, or the transition of our Chief Financial Officer role, including the transition from an interim to a permanent Chief Financial Officer, will be successful or that our new leadership will be able to effectively implement our business plan and growth strategy.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concurrent transition of our principal executive officer and principal financial officer may also place additional demands on our management team, including with respect to our financial reporting processes and internal control over financial reporting. Any disruption arising from these transitions, including any related changes to our strategy or management team, or any perception by employees, customers, investors, or other stakeholders that our leadership is unstable, could adversely affect our business.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is dependent on a number of factors, including the competitive nature of the employment market and our industry. Any failure to retain key management personnel or to attract additional or suitable replacement personnel has and in the future could cause uncertainty among investors, employees, customers, and others concerning our future direction and performance and could have a material adverse effect on our business,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goodwill and intangible assets have been subject to impairment and may be subject to further impairment in the future, which could have a material adverse effect on our results of operations, financial condition, or future operating results.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perform a goodwill and long-lived asset impairment test for each reporting unit annually, or more frequently if indicators for potential impairment exist. Indicators that are considered include significant changes in performance relative to expected operating results, significant negative industry or economic trends, or a significant decline in our stock price, and/or market capitalization for a sustained period of time. In addition, we assess the current and future economic outlook for our reporting units during the fiscal year. While we believe the assumptions used in determining whether there was impairment and the amount of any resulting impairment were reasonable and commensurate with the views of a market participant, changes in key assumptions in the future, including increasing the discount rate, lowering forecasts for revenue and operating margin, customer attrition, or lowering the long-term growth rate, could result in additional charges; similarly, one or more changes in these assumptions in future periods due to changes in circumstances could result in future impairments in one or more reporting units. We recognized a $40.4 million impairment of customer relationship, trademark and developed technology intangible assets during the nine months ended September 30, 2026 in connection with our assessment that the estimated undiscounted cash flows of the Parking Solutions asset group were less than its carrying amount. We also recorded a $64.0 million impairment to goodwill in our Parking Solutions segment during the nine months ended September 30, 2026 in connection with our assessment that the Parking Solutions reporting unit’s carrying value exceeded the estimated fair value and we cannot predict if or when additional future goodwill impairments may occur. Any future goodwill impairments could have material adverse effects on our operating income, net assets, or our cost of, or access to, capital, which could harm our business. See Note 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in Part I, Item 1, Financial Statements, for additional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securities litigation, which is expensive and could adversely impact our business.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2026, a putative securities class action complaint was filed against us and certain of our officers. The case is pending. See Note 13,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included in Part I, Item 1, Financial Statements in this Report for more information. Litigation of this type is expensive and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substantial cost and divert resources from our business regardless of the outcome of such litigation, which could have an adverse effect on our business, financial condition, results of operations or prospects. Any adverse determination in litigation could also subject us to significant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purchases of our Class A Common Stock during the three months ended September 30,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September 30,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promulgated under the Exchange Act) adopted or terminated a Rule 10b5-1 trading arrangement or a non-Rule 10b5-1 trading arrangement (as each term is defined in Item 408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20" w:type="dxa"/>
            <w:vAlign w:val="bottom"/>
            <w:gridSpan w:val="3"/>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Pr>
          <w:p>
            <w:pPr>
              <w:spacing w:after="0"/>
              <w:rPr>
                <w:sz w:val="16"/>
                <w:szCs w:val="16"/>
                <w:color w:val="auto"/>
              </w:rPr>
            </w:pPr>
          </w:p>
        </w:tc>
      </w:tr>
      <w:tr>
        <w:trPr>
          <w:trHeight w:val="20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4"/>
        </w:trPr>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spacing w:after="0"/>
              <w:rPr>
                <w:sz w:val="17"/>
                <w:szCs w:val="17"/>
                <w:color w:val="auto"/>
              </w:rPr>
            </w:pPr>
          </w:p>
        </w:tc>
        <w:tc>
          <w:tcPr>
            <w:tcW w:w="34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23"/>
        </w:trPr>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9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5040" w:type="dxa"/>
            <w:vAlign w:val="bottom"/>
            <w:gridSpan w:val="9"/>
          </w:tcPr>
          <w:p>
            <w:pPr>
              <w:spacing w:after="0" w:line="18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Amended and Restated Certificate of Incorporation of Verra</w:t>
              </w:r>
            </w:hyperlink>
          </w:p>
        </w:tc>
        <w:tc>
          <w:tcPr>
            <w:tcW w:w="6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001-37979</w:t>
            </w:r>
          </w:p>
        </w:tc>
        <w:tc>
          <w:tcPr>
            <w:tcW w:w="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October 22, 2018</w:t>
            </w:r>
          </w:p>
        </w:tc>
        <w:tc>
          <w:tcPr>
            <w:tcW w:w="920" w:type="dxa"/>
            <w:vAlign w:val="bottom"/>
          </w:tcPr>
          <w:p>
            <w:pPr>
              <w:spacing w:after="0"/>
              <w:rPr>
                <w:sz w:val="17"/>
                <w:szCs w:val="17"/>
                <w:color w:val="auto"/>
              </w:rPr>
            </w:pPr>
          </w:p>
        </w:tc>
      </w:tr>
      <w:tr>
        <w:trPr>
          <w:trHeight w:val="155"/>
        </w:trPr>
        <w:tc>
          <w:tcPr>
            <w:tcW w:w="980" w:type="dxa"/>
            <w:vAlign w:val="bottom"/>
          </w:tcPr>
          <w:p>
            <w:pPr>
              <w:spacing w:after="0"/>
              <w:rPr>
                <w:sz w:val="13"/>
                <w:szCs w:val="13"/>
                <w:color w:val="auto"/>
              </w:rPr>
            </w:pPr>
          </w:p>
        </w:tc>
        <w:tc>
          <w:tcPr>
            <w:tcW w:w="16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Mobility Corporation.</w:t>
              </w:r>
            </w:hyperlink>
          </w:p>
        </w:tc>
        <w:tc>
          <w:tcPr>
            <w:tcW w:w="33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5040" w:type="dxa"/>
            <w:vAlign w:val="bottom"/>
            <w:gridSpan w:val="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Bylaws of Verra Mobility Corporation.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2023</w:t>
            </w:r>
          </w:p>
        </w:tc>
        <w:tc>
          <w:tcPr>
            <w:tcW w:w="9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Executive Employment Agreement, dated as of October 1, 2026, by</w:t>
              </w:r>
            </w:hyperlink>
          </w:p>
        </w:tc>
        <w:tc>
          <w:tcPr>
            <w:tcW w:w="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 2026</w:t>
            </w:r>
          </w:p>
        </w:tc>
        <w:tc>
          <w:tcPr>
            <w:tcW w:w="920" w:type="dxa"/>
            <w:vAlign w:val="bottom"/>
          </w:tcPr>
          <w:p>
            <w:pPr>
              <w:spacing w:after="0"/>
              <w:rPr>
                <w:sz w:val="24"/>
                <w:szCs w:val="24"/>
                <w:color w:val="auto"/>
              </w:rPr>
            </w:pPr>
          </w:p>
        </w:tc>
      </w:tr>
      <w:tr>
        <w:trPr>
          <w:trHeight w:val="156"/>
        </w:trPr>
        <w:tc>
          <w:tcPr>
            <w:tcW w:w="980" w:type="dxa"/>
            <w:vAlign w:val="bottom"/>
          </w:tcPr>
          <w:p>
            <w:pPr>
              <w:spacing w:after="0"/>
              <w:rPr>
                <w:sz w:val="13"/>
                <w:szCs w:val="13"/>
                <w:color w:val="auto"/>
              </w:rPr>
            </w:pPr>
          </w:p>
        </w:tc>
        <w:tc>
          <w:tcPr>
            <w:tcW w:w="396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and between VM Consolidated, Inc. and Jon Newhard.</w:t>
              </w:r>
            </w:hyperlink>
          </w:p>
        </w:tc>
        <w:tc>
          <w:tcPr>
            <w:tcW w:w="10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040" w:type="dxa"/>
            <w:vAlign w:val="bottom"/>
            <w:gridSpan w:val="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Indemnity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 2026</w:t>
            </w:r>
          </w:p>
        </w:tc>
        <w:tc>
          <w:tcPr>
            <w:tcW w:w="9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9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Separation, Transition and Release Agreement, dated as of October</w:t>
              </w:r>
            </w:hyperlink>
          </w:p>
        </w:tc>
        <w:tc>
          <w:tcPr>
            <w:tcW w:w="8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5, 2026</w:t>
            </w:r>
          </w:p>
        </w:tc>
        <w:tc>
          <w:tcPr>
            <w:tcW w:w="920" w:type="dxa"/>
            <w:vAlign w:val="bottom"/>
          </w:tcPr>
          <w:p>
            <w:pPr>
              <w:spacing w:after="0"/>
              <w:rPr>
                <w:sz w:val="24"/>
                <w:szCs w:val="24"/>
                <w:color w:val="auto"/>
              </w:rPr>
            </w:pPr>
          </w:p>
        </w:tc>
      </w:tr>
      <w:tr>
        <w:trPr>
          <w:trHeight w:val="156"/>
        </w:trPr>
        <w:tc>
          <w:tcPr>
            <w:tcW w:w="980" w:type="dxa"/>
            <w:vAlign w:val="bottom"/>
          </w:tcPr>
          <w:p>
            <w:pPr>
              <w:spacing w:after="0"/>
              <w:rPr>
                <w:sz w:val="13"/>
                <w:szCs w:val="13"/>
                <w:color w:val="auto"/>
              </w:rPr>
            </w:pPr>
          </w:p>
        </w:tc>
        <w:tc>
          <w:tcPr>
            <w:tcW w:w="4960" w:type="dxa"/>
            <w:vAlign w:val="bottom"/>
            <w:gridSpan w:val="6"/>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 2026, by and between VM Consolidated, Inc. and Jon Keyser.</w:t>
              </w:r>
            </w:hyperlink>
          </w:p>
        </w:tc>
        <w:tc>
          <w:tcPr>
            <w:tcW w:w="8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82"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r>
      <w:tr>
        <w:trPr>
          <w:trHeight w:val="156"/>
        </w:trPr>
        <w:tc>
          <w:tcPr>
            <w:tcW w:w="960" w:type="dxa"/>
            <w:vAlign w:val="bottom"/>
          </w:tcPr>
          <w:p>
            <w:pPr>
              <w:spacing w:after="0"/>
              <w:rPr>
                <w:sz w:val="13"/>
                <w:szCs w:val="13"/>
                <w:color w:val="auto"/>
              </w:rPr>
            </w:pPr>
          </w:p>
        </w:tc>
        <w:tc>
          <w:tcPr>
            <w:tcW w:w="49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w:t>
            </w: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6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10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r>
      <w:tr>
        <w:trPr>
          <w:trHeight w:val="156"/>
        </w:trPr>
        <w:tc>
          <w:tcPr>
            <w:tcW w:w="960" w:type="dxa"/>
            <w:vAlign w:val="bottom"/>
          </w:tcPr>
          <w:p>
            <w:pPr>
              <w:spacing w:after="0"/>
              <w:rPr>
                <w:sz w:val="13"/>
                <w:szCs w:val="13"/>
                <w:color w:val="auto"/>
              </w:rPr>
            </w:pPr>
          </w:p>
        </w:tc>
        <w:tc>
          <w:tcPr>
            <w:tcW w:w="50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w:t>
            </w: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6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10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960" w:type="dxa"/>
            <w:vAlign w:val="bottom"/>
          </w:tcPr>
          <w:p>
            <w:pPr>
              <w:spacing w:after="0"/>
              <w:rPr>
                <w:sz w:val="13"/>
                <w:szCs w:val="13"/>
                <w:color w:val="auto"/>
              </w:rPr>
            </w:pPr>
          </w:p>
        </w:tc>
        <w:tc>
          <w:tcPr>
            <w:tcW w:w="500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40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6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r>
      <w:tr>
        <w:trPr>
          <w:trHeight w:val="155"/>
        </w:trPr>
        <w:tc>
          <w:tcPr>
            <w:tcW w:w="960" w:type="dxa"/>
            <w:vAlign w:val="bottom"/>
          </w:tcPr>
          <w:p>
            <w:pPr>
              <w:spacing w:after="0"/>
              <w:rPr>
                <w:sz w:val="13"/>
                <w:szCs w:val="13"/>
                <w:color w:val="auto"/>
              </w:rPr>
            </w:pPr>
          </w:p>
        </w:tc>
        <w:tc>
          <w:tcPr>
            <w:tcW w:w="50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64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 the</w:t>
            </w:r>
          </w:p>
        </w:tc>
      </w:tr>
      <w:tr>
        <w:trPr>
          <w:trHeight w:val="171"/>
        </w:trPr>
        <w:tc>
          <w:tcPr>
            <w:tcW w:w="960" w:type="dxa"/>
            <w:vAlign w:val="bottom"/>
          </w:tcPr>
          <w:p>
            <w:pPr>
              <w:spacing w:after="0"/>
              <w:rPr>
                <w:sz w:val="14"/>
                <w:szCs w:val="14"/>
                <w:color w:val="auto"/>
              </w:rPr>
            </w:pPr>
          </w:p>
        </w:tc>
        <w:tc>
          <w:tcPr>
            <w:tcW w:w="5080" w:type="dxa"/>
            <w:vAlign w:val="bottom"/>
            <w:gridSpan w:val="9"/>
          </w:tcPr>
          <w:p>
            <w:pPr>
              <w:spacing w:after="0" w:line="170"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w:t>
            </w:r>
          </w:p>
        </w:tc>
      </w:tr>
      <w:tr>
        <w:trPr>
          <w:trHeight w:val="234"/>
        </w:trPr>
        <w:tc>
          <w:tcPr>
            <w:tcW w:w="960" w:type="dxa"/>
            <w:vAlign w:val="bottom"/>
          </w:tcPr>
          <w:p>
            <w:pPr>
              <w:spacing w:after="0"/>
              <w:rPr>
                <w:sz w:val="20"/>
                <w:szCs w:val="20"/>
                <w:color w:val="auto"/>
              </w:rPr>
            </w:pP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r>
      <w:tr>
        <w:trPr>
          <w:trHeight w:val="234"/>
        </w:trPr>
        <w:tc>
          <w:tcPr>
            <w:tcW w:w="960" w:type="dxa"/>
            <w:vAlign w:val="bottom"/>
          </w:tcPr>
          <w:p>
            <w:pPr>
              <w:spacing w:after="0"/>
              <w:rPr>
                <w:sz w:val="20"/>
                <w:szCs w:val="20"/>
                <w:color w:val="auto"/>
              </w:rPr>
            </w:pP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Documents.</w:t>
            </w:r>
          </w:p>
        </w:tc>
      </w:tr>
    </w:tbl>
    <w:p>
      <w:pPr>
        <w:spacing w:after="0" w:line="58" w:lineRule="exact"/>
        <w:rPr>
          <w:sz w:val="20"/>
          <w:szCs w:val="20"/>
          <w:color w:val="auto"/>
        </w:rPr>
      </w:pPr>
    </w:p>
    <w:p>
      <w:pPr>
        <w:ind w:left="980" w:right="4080" w:hanging="954"/>
        <w:spacing w:after="0" w:line="237"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16" w:lineRule="exact"/>
        <w:rPr>
          <w:sz w:val="20"/>
          <w:szCs w:val="20"/>
          <w:color w:val="auto"/>
        </w:rPr>
      </w:pPr>
    </w:p>
    <w:p>
      <w:pPr>
        <w:sectPr>
          <w:pgSz w:w="11900" w:h="16838" w:orient="portrait"/>
          <w:cols w:equalWidth="0" w:num="2">
            <w:col w:w="10020" w:space="720"/>
            <w:col w:w="500"/>
          </w:cols>
          <w:pgMar w:left="320" w:top="182" w:right="339" w:bottom="1440" w:gutter="0" w:footer="0" w:header="0"/>
          <w:type w:val="continuous"/>
        </w:sectPr>
      </w:pPr>
    </w:p>
    <w:p>
      <w:pPr>
        <w:spacing w:after="0" w:line="39" w:lineRule="exact"/>
        <w:rPr>
          <w:sz w:val="20"/>
          <w:szCs w:val="20"/>
          <w:color w:val="auto"/>
        </w:rPr>
      </w:pPr>
    </w:p>
    <w:p>
      <w:pPr>
        <w:ind w:left="260" w:right="200" w:hanging="252"/>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25"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26035</wp:posOffset>
            </wp:positionV>
            <wp:extent cx="31718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Craig Conti</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Keyser, certify that:</w:t>
      </w:r>
    </w:p>
    <w:p>
      <w:pPr>
        <w:spacing w:after="0" w:line="185" w:lineRule="exact"/>
        <w:rPr>
          <w:sz w:val="20"/>
          <w:szCs w:val="20"/>
          <w:color w:val="auto"/>
        </w:rPr>
      </w:pPr>
    </w:p>
    <w:p>
      <w:pPr>
        <w:ind w:left="1140" w:hanging="113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1140" w:hanging="1132"/>
        <w:spacing w:after="0" w:line="266"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140" w:right="20" w:hanging="1132"/>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140" w:hanging="1132"/>
        <w:spacing w:after="0" w:line="266"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jc w:val="both"/>
        <w:ind w:left="1140" w:hanging="1132"/>
        <w:spacing w:after="0" w:line="266"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20" w:hanging="1138"/>
        <w:spacing w:after="0" w:line="282" w:lineRule="auto"/>
        <w:tabs>
          <w:tab w:leader="none" w:pos="2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00" w:val="left"/>
          <w:tab w:leader="none" w:pos="7140" w:val="left"/>
        </w:tabs>
        <w:rPr>
          <w:sz w:val="20"/>
          <w:szCs w:val="20"/>
          <w:color w:val="auto"/>
        </w:rPr>
      </w:pPr>
      <w:r>
        <w:rPr>
          <w:rFonts w:ascii="Times New Roman" w:cs="Times New Roman" w:eastAsia="Times New Roman" w:hAnsi="Times New Roman"/>
          <w:sz w:val="18"/>
          <w:szCs w:val="18"/>
          <w:color w:val="auto"/>
        </w:rPr>
        <w:t>Dated: October 30, 2026</w:t>
      </w:r>
      <w:r>
        <w:rPr>
          <w:sz w:val="20"/>
          <w:szCs w:val="20"/>
          <w:color w:val="auto"/>
        </w:rPr>
        <w:tab/>
      </w:r>
      <w:r>
        <w:rPr>
          <w:rFonts w:ascii="Times New Roman" w:cs="Times New Roman" w:eastAsia="Times New Roman" w:hAnsi="Times New Roman"/>
          <w:sz w:val="18"/>
          <w:szCs w:val="18"/>
          <w:color w:val="auto"/>
        </w:rPr>
        <w:t>By:</w:t>
        <w:tab/>
        <w:t>/s/Jonathan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26035</wp:posOffset>
            </wp:positionV>
            <wp:extent cx="25971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Jonathan Keyser</w:t>
      </w:r>
    </w:p>
    <w:p>
      <w:pPr>
        <w:spacing w:after="0" w:line="6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ectPr>
          <w:pgSz w:w="11900" w:h="16838" w:orient="portrait"/>
          <w:cols w:equalWidth="0" w:num="1">
            <w:col w:w="11240"/>
          </w:cols>
          <w:pgMar w:left="320" w:top="92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5" w:lineRule="exact"/>
        <w:rPr>
          <w:sz w:val="20"/>
          <w:szCs w:val="20"/>
          <w:color w:val="auto"/>
        </w:rPr>
      </w:pPr>
    </w:p>
    <w:p>
      <w:pPr>
        <w:ind w:left="1140" w:hanging="113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1140" w:hanging="1132"/>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140" w:right="20" w:hanging="1132"/>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140" w:hanging="1132"/>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jc w:val="both"/>
        <w:ind w:left="1140" w:hanging="1132"/>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hanging="1138"/>
        <w:spacing w:after="0" w:line="266" w:lineRule="auto"/>
        <w:tabs>
          <w:tab w:leader="none" w:pos="2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20" w:hanging="1138"/>
        <w:spacing w:after="0" w:line="282" w:lineRule="auto"/>
        <w:tabs>
          <w:tab w:leader="none" w:pos="2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00" w:val="left"/>
          <w:tab w:leader="none" w:pos="7140" w:val="left"/>
        </w:tabs>
        <w:rPr>
          <w:sz w:val="20"/>
          <w:szCs w:val="20"/>
          <w:color w:val="auto"/>
        </w:rPr>
      </w:pPr>
      <w:r>
        <w:rPr>
          <w:rFonts w:ascii="Times New Roman" w:cs="Times New Roman" w:eastAsia="Times New Roman" w:hAnsi="Times New Roman"/>
          <w:sz w:val="18"/>
          <w:szCs w:val="18"/>
          <w:color w:val="auto"/>
        </w:rPr>
        <w:t>Dated:October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26035</wp:posOffset>
            </wp:positionV>
            <wp:extent cx="25971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Craig Conti</w:t>
      </w:r>
    </w:p>
    <w:p>
      <w:pPr>
        <w:spacing w:after="0" w:line="6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September 30, 2026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Jonathan Keyser, Interim President and Chief Executive Officer of the Company, hereby certify, pursuant to 18 U.S.C. Section 1350, as adopted pursuant to Section 906 of the Sarbanes-Oxley Act of 2002, that to the best of my knowledge:</w:t>
      </w:r>
    </w:p>
    <w:p>
      <w:pPr>
        <w:spacing w:after="0" w:line="72" w:lineRule="exact"/>
        <w:rPr>
          <w:sz w:val="20"/>
          <w:szCs w:val="20"/>
          <w:color w:val="auto"/>
        </w:rPr>
      </w:pPr>
    </w:p>
    <w:p>
      <w:pPr>
        <w:ind w:left="1140" w:hanging="113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1132"/>
        <w:spacing w:after="0" w:line="282" w:lineRule="auto"/>
        <w:tabs>
          <w:tab w:leader="none" w:pos="11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ind w:left="20"/>
        <w:spacing w:after="0"/>
        <w:tabs>
          <w:tab w:leader="none" w:pos="5340" w:val="left"/>
          <w:tab w:leader="none" w:pos="5900" w:val="left"/>
        </w:tabs>
        <w:rPr>
          <w:sz w:val="20"/>
          <w:szCs w:val="20"/>
          <w:color w:val="auto"/>
        </w:rPr>
      </w:pPr>
      <w:r>
        <w:rPr>
          <w:rFonts w:ascii="Times New Roman" w:cs="Times New Roman" w:eastAsia="Times New Roman" w:hAnsi="Times New Roman"/>
          <w:sz w:val="18"/>
          <w:szCs w:val="18"/>
          <w:color w:val="auto"/>
        </w:rPr>
        <w:t>Dated: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Jonathan Keyser</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ectPr>
          <w:pgSz w:w="11900" w:h="16838" w:orient="portrait"/>
          <w:cols w:equalWidth="0" w:num="1">
            <w:col w:w="11240"/>
          </w:cols>
          <w:pgMar w:left="320" w:top="92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September 30, 2026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pursuant to 18 U.S.C. Section 1350, as adopted pursuant to Section 906 of the Sarbanes-Oxley Act of 2002, that to the best of my knowledge:</w:t>
      </w:r>
    </w:p>
    <w:p>
      <w:pPr>
        <w:spacing w:after="0" w:line="67" w:lineRule="exact"/>
        <w:rPr>
          <w:sz w:val="20"/>
          <w:szCs w:val="20"/>
          <w:color w:val="auto"/>
        </w:rPr>
      </w:pPr>
    </w:p>
    <w:p>
      <w:pPr>
        <w:ind w:left="1140" w:hanging="11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1132"/>
        <w:spacing w:after="0" w:line="282" w:lineRule="auto"/>
        <w:tabs>
          <w:tab w:leader="none" w:pos="11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ind w:left="20"/>
        <w:spacing w:after="0"/>
        <w:tabs>
          <w:tab w:leader="none" w:pos="5320" w:val="left"/>
          <w:tab w:leader="none" w:pos="5880" w:val="left"/>
        </w:tabs>
        <w:rPr>
          <w:sz w:val="20"/>
          <w:szCs w:val="20"/>
          <w:color w:val="auto"/>
        </w:rPr>
      </w:pPr>
      <w:r>
        <w:rPr>
          <w:rFonts w:ascii="Times New Roman" w:cs="Times New Roman" w:eastAsia="Times New Roman" w:hAnsi="Times New Roman"/>
          <w:sz w:val="18"/>
          <w:szCs w:val="18"/>
          <w:color w:val="auto"/>
        </w:rPr>
        <w:t>Dated: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26035</wp:posOffset>
            </wp:positionV>
            <wp:extent cx="34029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Craig Conti</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4"/>
    </w:lvl>
  </w:abstractNum>
  <w:abstractNum w:abstractNumId="9">
    <w:nsid w:val="2443A858"/>
    <w:multiLevelType w:val="hybridMultilevel"/>
    <w:lvl w:ilvl="0">
      <w:lvlJc w:val="left"/>
      <w:lvlText w:val="%1."/>
      <w:numFmt w:val="decimal"/>
      <w:start w:val="5"/>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7"/>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0"/>
    </w:lvl>
  </w:abstractNum>
  <w:abstractNum w:abstractNumId="16">
    <w:nsid w:val="B03E0C6"/>
    <w:multiLevelType w:val="hybridMultilevel"/>
    <w:lvl w:ilvl="0">
      <w:lvlJc w:val="left"/>
      <w:lvlText w:val="%1."/>
      <w:numFmt w:val="decimal"/>
      <w:start w:val="1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2"/>
    </w:lvl>
  </w:abstractNum>
  <w:abstractNum w:abstractNumId="19">
    <w:nsid w:val="71F32454"/>
    <w:multiLevelType w:val="hybridMultilevel"/>
    <w:lvl w:ilvl="0">
      <w:lvlJc w:val="left"/>
      <w:lvlText w:val="%1."/>
      <w:numFmt w:val="decimal"/>
      <w:start w:val="13"/>
    </w:lvl>
  </w:abstractNum>
  <w:abstractNum w:abstractNumId="20">
    <w:nsid w:val="2CA88611"/>
    <w:multiLevelType w:val="hybridMultilevel"/>
    <w:lvl w:ilvl="0">
      <w:lvlJc w:val="left"/>
      <w:lvlText w:val="%1."/>
      <w:numFmt w:val="decimal"/>
      <w:start w:val="14"/>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5"/>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lvl w:ilvl="1">
      <w:lvlJc w:val="left"/>
      <w:lvlText w:val="%2"/>
      <w:numFmt w:val="decimal"/>
      <w:start w:val="104"/>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55" Type="http://schemas.openxmlformats.org/officeDocument/2006/relationships/hyperlink" Target="https://www.sec.gov/Archives/edgar/data/1682745/000156459018024644/vrrm-ex31_941.htm" TargetMode="External"/><Relationship Id="rId156" Type="http://schemas.openxmlformats.org/officeDocument/2006/relationships/hyperlink" Target="https://www.sec.gov/ix?doc=/Archives/edgar/data/1682745/000095017023062035/vrrm-20231108.htm" TargetMode="External"/><Relationship Id="rId157" Type="http://schemas.openxmlformats.org/officeDocument/2006/relationships/hyperlink" Target="https://www.sec.gov/Archives/edgar/data/1682745/000119312526412497/d116013dex101.htm" TargetMode="External"/><Relationship Id="rId158" Type="http://schemas.openxmlformats.org/officeDocument/2006/relationships/hyperlink" Target="https://www.sec.gov/Archives/edgar/data/1682745/000119312526412497/d116013dex102.htm" TargetMode="External"/><Relationship Id="rId159" Type="http://schemas.openxmlformats.org/officeDocument/2006/relationships/hyperlink" Target="https://www.sec.gov/ix?doc=/Archives/edgar/data/0001682745/000119312526413031/d166824d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2026-10-30T07:43:52Z</dcterms:created>
  <dcterms:modified xsi:type="dcterms:W3CDTF">2026-10-30T07:43:52Z</dcterms:modified>
</cp:coreProperties>
</file>